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3A9" w:rsidRPr="00673AE8" w:rsidRDefault="00BE43A9" w:rsidP="00BE43A9">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Pr>
          <w:rFonts w:eastAsia="Malgun Gothic"/>
          <w:b/>
          <w:bCs/>
          <w:sz w:val="28"/>
          <w:lang w:val="en-GB"/>
        </w:rPr>
        <w:t>#89-e</w:t>
      </w:r>
      <w:r>
        <w:rPr>
          <w:rFonts w:eastAsia="Malgun Gothic"/>
          <w:b/>
          <w:bCs/>
          <w:sz w:val="28"/>
          <w:lang w:val="en-GB"/>
        </w:rPr>
        <w:tab/>
        <w:t xml:space="preserve"> </w:t>
      </w:r>
      <w:r>
        <w:rPr>
          <w:rFonts w:eastAsia="Malgun Gothic"/>
          <w:b/>
          <w:bCs/>
          <w:sz w:val="28"/>
          <w:lang w:val="en-GB"/>
        </w:rPr>
        <w:tab/>
      </w:r>
      <w:r w:rsidRPr="00673AE8">
        <w:rPr>
          <w:rFonts w:eastAsia="Malgun Gothic"/>
          <w:b/>
          <w:bCs/>
          <w:sz w:val="28"/>
          <w:lang w:val="en-GB"/>
        </w:rPr>
        <w:t>R5-</w:t>
      </w:r>
      <w:r>
        <w:rPr>
          <w:rFonts w:eastAsia="Malgun Gothic"/>
          <w:b/>
          <w:bCs/>
          <w:sz w:val="28"/>
          <w:lang w:val="en-GB"/>
        </w:rPr>
        <w:t>20</w:t>
      </w:r>
      <w:r w:rsidR="00091E4F">
        <w:rPr>
          <w:rFonts w:eastAsia="Malgun Gothic"/>
          <w:b/>
          <w:bCs/>
          <w:sz w:val="28"/>
          <w:lang w:val="en-GB"/>
        </w:rPr>
        <w:t>6</w:t>
      </w:r>
      <w:r w:rsidR="00AD3F10">
        <w:rPr>
          <w:rFonts w:eastAsia="Malgun Gothic"/>
          <w:b/>
          <w:bCs/>
          <w:sz w:val="28"/>
          <w:lang w:val="en-GB"/>
        </w:rPr>
        <w:t>787</w:t>
      </w:r>
    </w:p>
    <w:p w:rsidR="00BE43A9" w:rsidRPr="00673AE8" w:rsidRDefault="00BE43A9" w:rsidP="00BE43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Electronic Meeting, 9</w:t>
      </w:r>
      <w:r w:rsidRPr="00673AE8">
        <w:rPr>
          <w:rFonts w:eastAsia="Malgun Gothic"/>
          <w:b/>
          <w:bCs/>
          <w:sz w:val="28"/>
          <w:vertAlign w:val="superscript"/>
          <w:lang w:eastAsia="ko-KR"/>
        </w:rPr>
        <w:t>th</w:t>
      </w:r>
      <w:r w:rsidRPr="00673AE8">
        <w:rPr>
          <w:rFonts w:eastAsia="Malgun Gothic"/>
          <w:b/>
          <w:bCs/>
          <w:sz w:val="28"/>
          <w:lang w:eastAsia="ko-KR"/>
        </w:rPr>
        <w:t xml:space="preserve">  – 2</w:t>
      </w:r>
      <w:r>
        <w:rPr>
          <w:rFonts w:eastAsia="Malgun Gothic"/>
          <w:b/>
          <w:bCs/>
          <w:sz w:val="28"/>
          <w:lang w:eastAsia="ko-KR"/>
        </w:rPr>
        <w:t>0</w:t>
      </w:r>
      <w:r w:rsidRPr="00673AE8">
        <w:rPr>
          <w:rFonts w:eastAsia="Malgun Gothic"/>
          <w:b/>
          <w:bCs/>
          <w:sz w:val="28"/>
          <w:vertAlign w:val="superscript"/>
          <w:lang w:eastAsia="ko-KR"/>
        </w:rPr>
        <w:t>th</w:t>
      </w:r>
      <w:r w:rsidRPr="00673AE8">
        <w:rPr>
          <w:rFonts w:eastAsia="Malgun Gothic"/>
          <w:b/>
          <w:bCs/>
          <w:sz w:val="28"/>
          <w:lang w:eastAsia="ko-KR"/>
        </w:rPr>
        <w:t xml:space="preserve"> </w:t>
      </w:r>
      <w:r>
        <w:rPr>
          <w:rFonts w:eastAsia="Malgun Gothic"/>
          <w:b/>
          <w:bCs/>
          <w:sz w:val="28"/>
          <w:lang w:eastAsia="ko-KR"/>
        </w:rPr>
        <w:t>November</w:t>
      </w:r>
      <w:r w:rsidRPr="00673AE8">
        <w:rPr>
          <w:rFonts w:eastAsia="Malgun Gothic"/>
          <w:b/>
          <w:bCs/>
          <w:sz w:val="28"/>
          <w:lang w:eastAsia="ko-KR"/>
        </w:rPr>
        <w:t xml:space="preserve"> 2020</w:t>
      </w:r>
    </w:p>
    <w:p w:rsidR="00B81FC7" w:rsidRPr="00D41299" w:rsidRDefault="00B81FC7" w:rsidP="00B81FC7">
      <w:pPr>
        <w:rPr>
          <w:bCs/>
        </w:rPr>
      </w:pPr>
      <w:r w:rsidRPr="00D41299">
        <w:rPr>
          <w:b/>
        </w:rPr>
        <w:t>Source:</w:t>
      </w:r>
      <w:r w:rsidRPr="00D41299">
        <w:rPr>
          <w:b/>
        </w:rPr>
        <w:tab/>
      </w:r>
      <w:r w:rsidR="00CC6B35" w:rsidRPr="00D41299">
        <w:rPr>
          <w:b/>
        </w:rPr>
        <w:tab/>
      </w:r>
      <w:r w:rsidR="0038590F" w:rsidRPr="00D41299">
        <w:t>Rohde &amp; Schwarz</w:t>
      </w:r>
    </w:p>
    <w:p w:rsidR="00B81FC7" w:rsidRPr="00D41299" w:rsidRDefault="00B81FC7" w:rsidP="008159B1">
      <w:pPr>
        <w:ind w:left="2160" w:hanging="2160"/>
        <w:rPr>
          <w:b/>
        </w:rPr>
      </w:pPr>
      <w:r w:rsidRPr="00D41299">
        <w:rPr>
          <w:b/>
        </w:rPr>
        <w:t>Title:</w:t>
      </w:r>
      <w:r w:rsidRPr="00D41299">
        <w:rPr>
          <w:b/>
        </w:rPr>
        <w:tab/>
      </w:r>
      <w:r w:rsidR="00032153" w:rsidRPr="00D41299">
        <w:t>Estimate of Measurement Uncertainty for n259</w:t>
      </w:r>
    </w:p>
    <w:p w:rsidR="00B81FC7" w:rsidRPr="00D41299" w:rsidRDefault="00B81FC7" w:rsidP="009218F2">
      <w:pPr>
        <w:pStyle w:val="Beschriftung"/>
        <w:rPr>
          <w:lang w:eastAsia="ja-JP"/>
        </w:rPr>
      </w:pPr>
      <w:r w:rsidRPr="00D41299">
        <w:rPr>
          <w:rFonts w:eastAsia="SimSun" w:cs="Arial"/>
          <w:bCs w:val="0"/>
          <w:sz w:val="22"/>
          <w:szCs w:val="22"/>
          <w:lang w:eastAsia="zh-CN"/>
        </w:rPr>
        <w:t>Agenda Item:</w:t>
      </w:r>
      <w:r w:rsidRPr="00D41299">
        <w:rPr>
          <w:rFonts w:eastAsia="SimSun" w:cs="Arial"/>
          <w:bCs w:val="0"/>
          <w:sz w:val="22"/>
          <w:szCs w:val="22"/>
          <w:lang w:eastAsia="zh-CN"/>
        </w:rPr>
        <w:tab/>
      </w:r>
      <w:r w:rsidR="00CC6B35" w:rsidRPr="00D41299">
        <w:tab/>
      </w:r>
      <w:r w:rsidR="009218F2" w:rsidRPr="00D41299">
        <w:rPr>
          <w:rFonts w:eastAsia="SimSun" w:cs="Arial"/>
          <w:b w:val="0"/>
          <w:bCs w:val="0"/>
          <w:sz w:val="22"/>
          <w:szCs w:val="22"/>
          <w:lang w:eastAsia="zh-CN"/>
        </w:rPr>
        <w:t>5.3.</w:t>
      </w:r>
      <w:r w:rsidR="00E36793" w:rsidRPr="00D41299">
        <w:rPr>
          <w:rFonts w:eastAsia="SimSun" w:cs="Arial"/>
          <w:b w:val="0"/>
          <w:bCs w:val="0"/>
          <w:sz w:val="22"/>
          <w:szCs w:val="22"/>
          <w:lang w:eastAsia="zh-CN"/>
        </w:rPr>
        <w:t>2</w:t>
      </w:r>
      <w:r w:rsidR="009218F2" w:rsidRPr="00D41299">
        <w:rPr>
          <w:rFonts w:eastAsia="SimSun" w:cs="Arial"/>
          <w:b w:val="0"/>
          <w:bCs w:val="0"/>
          <w:sz w:val="22"/>
          <w:szCs w:val="22"/>
          <w:lang w:eastAsia="zh-CN"/>
        </w:rPr>
        <w:t>.17</w:t>
      </w:r>
    </w:p>
    <w:p w:rsidR="00B81FC7" w:rsidRPr="00D41299" w:rsidRDefault="00B81FC7" w:rsidP="00B81FC7">
      <w:pPr>
        <w:rPr>
          <w:sz w:val="18"/>
          <w:szCs w:val="18"/>
        </w:rPr>
      </w:pPr>
      <w:r w:rsidRPr="00D41299">
        <w:rPr>
          <w:b/>
        </w:rPr>
        <w:t>Document for:</w:t>
      </w:r>
      <w:r w:rsidRPr="00D41299">
        <w:tab/>
      </w:r>
      <w:r w:rsidR="00C219EB" w:rsidRPr="00D41299">
        <w:t xml:space="preserve">Discussion and </w:t>
      </w:r>
      <w:r w:rsidR="004B52BE" w:rsidRPr="00D41299">
        <w:t>Endorsement</w:t>
      </w:r>
    </w:p>
    <w:p w:rsidR="00B81FC7" w:rsidRPr="00D41299" w:rsidRDefault="00B81FC7" w:rsidP="00B81FC7">
      <w:pPr>
        <w:pStyle w:val="berschrift1"/>
        <w:rPr>
          <w:rFonts w:cs="Arial"/>
          <w:lang w:val="en-US"/>
        </w:rPr>
      </w:pPr>
      <w:r w:rsidRPr="00D41299">
        <w:rPr>
          <w:rFonts w:cs="Arial"/>
          <w:lang w:val="en-US"/>
        </w:rPr>
        <w:t>Introduction</w:t>
      </w:r>
    </w:p>
    <w:p w:rsidR="003959AE" w:rsidRPr="00D41299" w:rsidRDefault="00032153" w:rsidP="003959AE">
      <w:pPr>
        <w:rPr>
          <w:lang w:eastAsia="en-US"/>
        </w:rPr>
      </w:pPr>
      <w:r w:rsidRPr="00D41299">
        <w:rPr>
          <w:lang w:eastAsia="en-US"/>
        </w:rPr>
        <w:t>At RAN5#8</w:t>
      </w:r>
      <w:r w:rsidR="00BE43A9">
        <w:rPr>
          <w:lang w:eastAsia="en-US"/>
        </w:rPr>
        <w:t>8-e</w:t>
      </w:r>
      <w:r w:rsidRPr="00D41299">
        <w:rPr>
          <w:lang w:eastAsia="en-US"/>
        </w:rPr>
        <w:t xml:space="preserve">, </w:t>
      </w:r>
      <w:r w:rsidR="00BE43A9" w:rsidRPr="00104357">
        <w:rPr>
          <w:lang w:eastAsia="en-US"/>
        </w:rPr>
        <w:t>there was a request in [1] to provide</w:t>
      </w:r>
      <w:r w:rsidR="00BE43A9" w:rsidRPr="00D41299">
        <w:rPr>
          <w:lang w:eastAsia="en-US"/>
        </w:rPr>
        <w:t xml:space="preserve"> an MU estimation for band n259 [1]</w:t>
      </w:r>
      <w:r w:rsidRPr="00D41299">
        <w:rPr>
          <w:lang w:eastAsia="en-US"/>
        </w:rPr>
        <w:t xml:space="preserve">. </w:t>
      </w:r>
    </w:p>
    <w:p w:rsidR="00032153" w:rsidRPr="00D41299" w:rsidRDefault="00032153" w:rsidP="007A3A96">
      <w:pPr>
        <w:rPr>
          <w:lang w:eastAsia="en-US"/>
        </w:rPr>
      </w:pPr>
      <w:r w:rsidRPr="00D41299">
        <w:rPr>
          <w:lang w:eastAsia="en-US"/>
        </w:rPr>
        <w:t xml:space="preserve">In this document, we state our </w:t>
      </w:r>
      <w:r w:rsidR="008F196A" w:rsidRPr="00D41299">
        <w:rPr>
          <w:lang w:eastAsia="en-US"/>
        </w:rPr>
        <w:t xml:space="preserve">preliminary </w:t>
      </w:r>
      <w:r w:rsidRPr="00D41299">
        <w:rPr>
          <w:lang w:eastAsia="en-US"/>
        </w:rPr>
        <w:t xml:space="preserve">estimate for MU </w:t>
      </w:r>
      <w:r w:rsidR="00633549" w:rsidRPr="00D41299">
        <w:rPr>
          <w:lang w:eastAsia="en-US"/>
        </w:rPr>
        <w:t>in band n259</w:t>
      </w:r>
      <w:r w:rsidRPr="00D41299">
        <w:rPr>
          <w:lang w:eastAsia="en-US"/>
        </w:rPr>
        <w:t>. We emphasize that the estimate is</w:t>
      </w:r>
      <w:r w:rsidR="008F196A" w:rsidRPr="00D41299">
        <w:rPr>
          <w:lang w:eastAsia="en-US"/>
        </w:rPr>
        <w:t xml:space="preserve"> non-binding and</w:t>
      </w:r>
      <w:r w:rsidRPr="00D41299">
        <w:rPr>
          <w:lang w:eastAsia="en-US"/>
        </w:rPr>
        <w:t xml:space="preserve"> not</w:t>
      </w:r>
      <w:r w:rsidR="008F196A" w:rsidRPr="00D41299">
        <w:rPr>
          <w:lang w:eastAsia="en-US"/>
        </w:rPr>
        <w:t xml:space="preserve"> intended</w:t>
      </w:r>
      <w:r w:rsidRPr="00D41299">
        <w:rPr>
          <w:lang w:eastAsia="en-US"/>
        </w:rPr>
        <w:t xml:space="preserve"> for MTSU discussion since for this a </w:t>
      </w:r>
      <w:r w:rsidR="008F196A" w:rsidRPr="00D41299">
        <w:rPr>
          <w:lang w:eastAsia="en-US"/>
        </w:rPr>
        <w:t xml:space="preserve">more detailed </w:t>
      </w:r>
      <w:r w:rsidRPr="00D41299">
        <w:rPr>
          <w:lang w:eastAsia="en-US"/>
        </w:rPr>
        <w:t>analysis is required.</w:t>
      </w:r>
    </w:p>
    <w:p w:rsidR="00FC45FA" w:rsidRPr="00D41299" w:rsidRDefault="00AD395C" w:rsidP="00FC45FA">
      <w:pPr>
        <w:pStyle w:val="berschrift1"/>
        <w:rPr>
          <w:rFonts w:cs="Arial"/>
          <w:lang w:val="en-US"/>
        </w:rPr>
      </w:pPr>
      <w:bookmarkStart w:id="0" w:name="OLE_LINK10"/>
      <w:bookmarkStart w:id="1" w:name="OLE_LINK11"/>
      <w:r w:rsidRPr="00D41299">
        <w:rPr>
          <w:rFonts w:cs="Arial"/>
          <w:lang w:val="en-US"/>
        </w:rPr>
        <w:t>Discussion</w:t>
      </w:r>
    </w:p>
    <w:p w:rsidR="00F41760" w:rsidRPr="00D41299" w:rsidRDefault="00F41760" w:rsidP="00F41760">
      <w:pPr>
        <w:rPr>
          <w:lang w:eastAsia="en-US"/>
        </w:rPr>
      </w:pPr>
      <w:r w:rsidRPr="00D41299">
        <w:rPr>
          <w:lang w:eastAsia="en-US"/>
        </w:rPr>
        <w:t>While the upper frequency limit of band n259 is 43.5 GHz, the measurement uncertainty is required up to 44.3 GHz due to the out-of-band test case SEM, where a channel bandwidth of 400 MHz is assumed.</w:t>
      </w:r>
    </w:p>
    <w:p w:rsidR="00F41760" w:rsidRPr="00D41299" w:rsidRDefault="00F41760" w:rsidP="00F41760">
      <w:pPr>
        <w:pStyle w:val="berschrift2"/>
        <w:rPr>
          <w:lang w:val="en-US"/>
        </w:rPr>
      </w:pPr>
      <w:r w:rsidRPr="00D41299">
        <w:rPr>
          <w:lang w:val="en-US"/>
        </w:rPr>
        <w:t>Frequency error</w:t>
      </w:r>
    </w:p>
    <w:p w:rsidR="00F41760" w:rsidRDefault="00F41760" w:rsidP="00F41760">
      <w:pPr>
        <w:rPr>
          <w:lang w:eastAsia="en-US"/>
        </w:rPr>
      </w:pPr>
      <w:r w:rsidRPr="00D41299">
        <w:rPr>
          <w:lang w:eastAsia="en-US"/>
        </w:rPr>
        <w:t>Since the frequency MU is stated as a relative uncertainty in the specification (0.01 ppm), we think that it can be reused for band n259.</w:t>
      </w:r>
    </w:p>
    <w:p w:rsidR="004F451E" w:rsidRPr="00D41299" w:rsidRDefault="004F451E" w:rsidP="00F41760">
      <w:pPr>
        <w:rPr>
          <w:lang w:eastAsia="en-US"/>
        </w:rPr>
      </w:pPr>
      <w:r w:rsidRPr="004F451E">
        <w:rPr>
          <w:b/>
          <w:lang w:eastAsia="en-US"/>
        </w:rPr>
        <w:t>Observation 1</w:t>
      </w:r>
      <w:r>
        <w:rPr>
          <w:lang w:eastAsia="en-US"/>
        </w:rPr>
        <w:t>: For Frequency error there is no relaxation due to testability issue. Applying usual TT approach is sufficient.</w:t>
      </w:r>
    </w:p>
    <w:p w:rsidR="00F41760" w:rsidRPr="00D41299" w:rsidRDefault="004F451E" w:rsidP="00F41760">
      <w:pPr>
        <w:pStyle w:val="berschrift2"/>
        <w:rPr>
          <w:lang w:val="de-DE"/>
        </w:rPr>
      </w:pPr>
      <w:r>
        <w:rPr>
          <w:lang w:val="de-DE"/>
        </w:rPr>
        <w:t>ACLR</w:t>
      </w:r>
    </w:p>
    <w:p w:rsidR="00864DFA" w:rsidRPr="00AD3F10" w:rsidRDefault="00864DFA" w:rsidP="00AC7209">
      <w:pPr>
        <w:rPr>
          <w:lang w:eastAsia="en-US"/>
        </w:rPr>
      </w:pPr>
      <w:r w:rsidRPr="00AD3F10">
        <w:rPr>
          <w:lang w:eastAsia="en-US"/>
        </w:rPr>
        <w:t xml:space="preserve">Due to </w:t>
      </w:r>
      <w:r w:rsidR="00114B5D" w:rsidRPr="00AD3F10">
        <w:rPr>
          <w:lang w:eastAsia="en-US"/>
        </w:rPr>
        <w:t xml:space="preserve">the </w:t>
      </w:r>
      <w:r w:rsidRPr="00AD3F10">
        <w:rPr>
          <w:lang w:eastAsia="en-US"/>
        </w:rPr>
        <w:t>higher frequency the transmission between the center of quiet zone to the measurement device is degraded which le</w:t>
      </w:r>
      <w:r w:rsidR="00114B5D" w:rsidRPr="00AD3F10">
        <w:rPr>
          <w:lang w:eastAsia="en-US"/>
        </w:rPr>
        <w:t>ads to a higher impact of noise</w:t>
      </w:r>
      <w:r w:rsidR="0099608F" w:rsidRPr="00AD3F10">
        <w:rPr>
          <w:lang w:eastAsia="en-US"/>
        </w:rPr>
        <w:t>.</w:t>
      </w:r>
      <w:r w:rsidR="00197DE9" w:rsidRPr="00AD3F10">
        <w:rPr>
          <w:lang w:eastAsia="en-US"/>
        </w:rPr>
        <w:t xml:space="preserve"> </w:t>
      </w:r>
      <w:r w:rsidRPr="00AD3F10">
        <w:rPr>
          <w:lang w:eastAsia="en-US"/>
        </w:rPr>
        <w:t>The mismatch uncertainty will be increased since the VSWR is becoming worse with increasing frequency.</w:t>
      </w:r>
      <w:r w:rsidR="002A7563" w:rsidRPr="00AD3F10">
        <w:rPr>
          <w:lang w:eastAsia="en-US"/>
        </w:rPr>
        <w:t xml:space="preserve"> Furthermore, we expect some increase of the quiet zone MU for FR2c.</w:t>
      </w:r>
    </w:p>
    <w:p w:rsidR="00864DFA" w:rsidRPr="00D41299" w:rsidRDefault="004F451E" w:rsidP="00AC7209">
      <w:pPr>
        <w:rPr>
          <w:lang w:eastAsia="en-US"/>
        </w:rPr>
      </w:pPr>
      <w:r w:rsidRPr="00AD3F10">
        <w:rPr>
          <w:lang w:eastAsia="en-US"/>
        </w:rPr>
        <w:t>NR ACLR minimum conformance requirement for band n259 is identical to that of band n260. As a rigorous MU analysis of ACLR</w:t>
      </w:r>
      <w:r>
        <w:rPr>
          <w:lang w:eastAsia="en-US"/>
        </w:rPr>
        <w:t xml:space="preserve"> for band n259 could not be performed yet, i</w:t>
      </w:r>
      <w:r w:rsidR="00197DE9" w:rsidRPr="00D41299">
        <w:rPr>
          <w:lang w:eastAsia="en-US"/>
        </w:rPr>
        <w:t xml:space="preserve">n the meantime an oversimplified approach is to extrapolate the frequency dependence of the MU. Since the frequency dependency of the MU is complex and unknown, and </w:t>
      </w:r>
      <w:r w:rsidR="00114B5D" w:rsidRPr="00D41299">
        <w:rPr>
          <w:lang w:eastAsia="en-US"/>
        </w:rPr>
        <w:t>since for the MU of</w:t>
      </w:r>
      <w:r w:rsidR="00197DE9" w:rsidRPr="00D41299">
        <w:rPr>
          <w:lang w:eastAsia="en-US"/>
        </w:rPr>
        <w:t xml:space="preserve"> a specific test case only two frequency points are available</w:t>
      </w:r>
      <w:r w:rsidR="00114B5D" w:rsidRPr="00D41299">
        <w:rPr>
          <w:lang w:eastAsia="en-US"/>
        </w:rPr>
        <w:t>,</w:t>
      </w:r>
      <w:r w:rsidR="00197DE9" w:rsidRPr="00D41299">
        <w:rPr>
          <w:lang w:eastAsia="en-US"/>
        </w:rPr>
        <w:t xml:space="preserve"> </w:t>
      </w:r>
      <w:r w:rsidR="00114B5D" w:rsidRPr="00D41299">
        <w:rPr>
          <w:lang w:eastAsia="en-US"/>
        </w:rPr>
        <w:t xml:space="preserve">we </w:t>
      </w:r>
      <w:r w:rsidR="00197DE9" w:rsidRPr="00D41299">
        <w:rPr>
          <w:lang w:eastAsia="en-US"/>
        </w:rPr>
        <w:t>a</w:t>
      </w:r>
      <w:r w:rsidR="00114B5D" w:rsidRPr="00D41299">
        <w:rPr>
          <w:lang w:eastAsia="en-US"/>
        </w:rPr>
        <w:t>pply a</w:t>
      </w:r>
      <w:r w:rsidR="00197DE9" w:rsidRPr="00D41299">
        <w:rPr>
          <w:lang w:eastAsia="en-US"/>
        </w:rPr>
        <w:t xml:space="preserve"> linear extrapola</w:t>
      </w:r>
      <w:r w:rsidR="00114B5D" w:rsidRPr="00D41299">
        <w:rPr>
          <w:lang w:eastAsia="en-US"/>
        </w:rPr>
        <w:t>tion</w:t>
      </w:r>
      <w:r w:rsidR="00197DE9" w:rsidRPr="00D41299">
        <w:rPr>
          <w:lang w:eastAsia="en-US"/>
        </w:rPr>
        <w:t xml:space="preserve">. Since the ordinate values (MU) are not given for discrete frequency values but for ranges some ambiguity in choosing the frequency values for the </w:t>
      </w:r>
      <w:r w:rsidR="00114B5D" w:rsidRPr="00D41299">
        <w:rPr>
          <w:lang w:eastAsia="en-US"/>
        </w:rPr>
        <w:t>extra</w:t>
      </w:r>
      <w:r w:rsidR="00197DE9" w:rsidRPr="00D41299">
        <w:rPr>
          <w:lang w:eastAsia="en-US"/>
        </w:rPr>
        <w:t xml:space="preserve">polation exists. </w:t>
      </w:r>
      <w:r w:rsidR="00934991" w:rsidRPr="00D41299">
        <w:rPr>
          <w:lang w:eastAsia="en-US"/>
        </w:rPr>
        <w:t>Since the MU is valid until the upper limit of each range we choose these as reference frequencies for the interpolation.</w:t>
      </w:r>
    </w:p>
    <w:p w:rsidR="00864DFA" w:rsidRPr="00AD3F10" w:rsidRDefault="004F451E" w:rsidP="00AC7209">
      <w:pPr>
        <w:rPr>
          <w:lang w:eastAsia="en-US"/>
        </w:rPr>
      </w:pPr>
      <w:r>
        <w:rPr>
          <w:lang w:eastAsia="en-US"/>
        </w:rPr>
        <w:lastRenderedPageBreak/>
        <w:t>S</w:t>
      </w:r>
      <w:r w:rsidR="0081599E" w:rsidRPr="00D41299">
        <w:rPr>
          <w:lang w:eastAsia="en-US"/>
        </w:rPr>
        <w:t xml:space="preserve">ince the extrapolation </w:t>
      </w:r>
      <w:r w:rsidR="0081599E" w:rsidRPr="00AD3F10">
        <w:rPr>
          <w:lang w:eastAsia="en-US"/>
        </w:rPr>
        <w:t>approach is very rough and unsafe</w:t>
      </w:r>
      <w:r w:rsidR="00114B5D" w:rsidRPr="00AD3F10">
        <w:rPr>
          <w:lang w:eastAsia="en-US"/>
        </w:rPr>
        <w:t>,</w:t>
      </w:r>
      <w:r w:rsidR="0081599E" w:rsidRPr="00AD3F10">
        <w:rPr>
          <w:lang w:eastAsia="en-US"/>
        </w:rPr>
        <w:t xml:space="preserve"> we add </w:t>
      </w:r>
      <w:r w:rsidR="0099608F" w:rsidRPr="00AD3F10">
        <w:rPr>
          <w:lang w:eastAsia="en-US"/>
        </w:rPr>
        <w:t xml:space="preserve">0.5 dB </w:t>
      </w:r>
      <w:r w:rsidR="0081599E" w:rsidRPr="00AD3F10">
        <w:rPr>
          <w:lang w:eastAsia="en-US"/>
        </w:rPr>
        <w:t xml:space="preserve">to the values </w:t>
      </w:r>
      <w:r w:rsidR="0099608F" w:rsidRPr="00AD3F10">
        <w:rPr>
          <w:lang w:eastAsia="en-US"/>
        </w:rPr>
        <w:t xml:space="preserve">as </w:t>
      </w:r>
      <w:r w:rsidR="0081599E" w:rsidRPr="00AD3F10">
        <w:rPr>
          <w:lang w:eastAsia="en-US"/>
        </w:rPr>
        <w:t>a systematic uncertainty due to uncertain assumptions and</w:t>
      </w:r>
      <w:r w:rsidR="00114B5D" w:rsidRPr="00AD3F10">
        <w:rPr>
          <w:lang w:eastAsia="en-US"/>
        </w:rPr>
        <w:t xml:space="preserve"> limitations of</w:t>
      </w:r>
      <w:r w:rsidR="0099608F" w:rsidRPr="00AD3F10">
        <w:rPr>
          <w:lang w:eastAsia="en-US"/>
        </w:rPr>
        <w:t xml:space="preserve"> extrapolation</w:t>
      </w:r>
      <w:r w:rsidR="0081599E" w:rsidRPr="00AD3F10">
        <w:rPr>
          <w:lang w:eastAsia="en-US"/>
        </w:rPr>
        <w:t>:</w:t>
      </w:r>
    </w:p>
    <w:p w:rsidR="0081599E" w:rsidRPr="00AD3F10" w:rsidRDefault="0081599E" w:rsidP="0081599E">
      <w:pPr>
        <w:pStyle w:val="Beschriftung"/>
        <w:keepNext/>
      </w:pPr>
      <w:r w:rsidRPr="00AD3F10">
        <w:t xml:space="preserve">Table </w:t>
      </w:r>
      <w:r w:rsidRPr="00AD3F10">
        <w:fldChar w:fldCharType="begin"/>
      </w:r>
      <w:r w:rsidRPr="00AD3F10">
        <w:instrText xml:space="preserve"> SEQ Table \* ARABIC </w:instrText>
      </w:r>
      <w:r w:rsidRPr="00AD3F10">
        <w:fldChar w:fldCharType="separate"/>
      </w:r>
      <w:r w:rsidRPr="00AD3F10">
        <w:rPr>
          <w:noProof/>
        </w:rPr>
        <w:t>1</w:t>
      </w:r>
      <w:r w:rsidRPr="00AD3F10">
        <w:fldChar w:fldCharType="end"/>
      </w:r>
      <w:r w:rsidRPr="00AD3F10">
        <w:t>: MU for Tx test cases</w:t>
      </w:r>
    </w:p>
    <w:tbl>
      <w:tblPr>
        <w:tblW w:w="7371" w:type="dxa"/>
        <w:tblInd w:w="-10" w:type="dxa"/>
        <w:tblLook w:val="04A0" w:firstRow="1" w:lastRow="0" w:firstColumn="1" w:lastColumn="0" w:noHBand="0" w:noVBand="1"/>
      </w:tblPr>
      <w:tblGrid>
        <w:gridCol w:w="2295"/>
        <w:gridCol w:w="824"/>
        <w:gridCol w:w="709"/>
        <w:gridCol w:w="1701"/>
        <w:gridCol w:w="1842"/>
      </w:tblGrid>
      <w:tr w:rsidR="00E9211E" w:rsidRPr="00AD3F10" w:rsidTr="00E9211E">
        <w:trPr>
          <w:trHeight w:val="834"/>
        </w:trPr>
        <w:tc>
          <w:tcPr>
            <w:tcW w:w="22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9211E" w:rsidRPr="00AD3F10" w:rsidRDefault="00E9211E" w:rsidP="00E32A43">
            <w:pPr>
              <w:spacing w:after="0" w:line="240" w:lineRule="auto"/>
              <w:jc w:val="center"/>
              <w:rPr>
                <w:rFonts w:ascii="Calibri" w:eastAsia="Times New Roman" w:hAnsi="Calibri" w:cs="Calibri"/>
                <w:b/>
                <w:bCs/>
                <w:color w:val="000000"/>
                <w:lang w:eastAsia="en-US"/>
              </w:rPr>
            </w:pPr>
            <w:r w:rsidRPr="00AD3F10">
              <w:rPr>
                <w:rFonts w:ascii="Calibri" w:eastAsia="Times New Roman" w:hAnsi="Calibri" w:cs="Calibri"/>
                <w:b/>
                <w:bCs/>
                <w:color w:val="000000"/>
                <w:lang w:eastAsia="en-US"/>
              </w:rPr>
              <w:t>Test Case</w:t>
            </w:r>
          </w:p>
        </w:tc>
        <w:tc>
          <w:tcPr>
            <w:tcW w:w="1533" w:type="dxa"/>
            <w:gridSpan w:val="2"/>
            <w:tcBorders>
              <w:top w:val="single" w:sz="8" w:space="0" w:color="auto"/>
              <w:left w:val="nil"/>
              <w:right w:val="single" w:sz="8" w:space="0" w:color="000000"/>
            </w:tcBorders>
            <w:shd w:val="clear" w:color="auto" w:fill="auto"/>
            <w:vAlign w:val="center"/>
            <w:hideMark/>
          </w:tcPr>
          <w:p w:rsidR="00E9211E" w:rsidRPr="00AD3F10" w:rsidRDefault="00E9211E" w:rsidP="00E32A43">
            <w:pPr>
              <w:spacing w:after="0" w:line="240" w:lineRule="auto"/>
              <w:jc w:val="center"/>
              <w:rPr>
                <w:rFonts w:ascii="Calibri" w:eastAsia="Times New Roman" w:hAnsi="Calibri" w:cs="Calibri"/>
                <w:b/>
                <w:bCs/>
                <w:color w:val="000000"/>
                <w:lang w:eastAsia="en-US"/>
              </w:rPr>
            </w:pPr>
            <w:r w:rsidRPr="00AD3F10">
              <w:rPr>
                <w:rFonts w:ascii="Calibri" w:eastAsia="Times New Roman" w:hAnsi="Calibri" w:cs="Calibri"/>
                <w:b/>
                <w:bCs/>
                <w:color w:val="000000"/>
                <w:lang w:eastAsia="en-US"/>
              </w:rPr>
              <w:t>MU</w:t>
            </w:r>
            <w:r w:rsidRPr="00AD3F10">
              <w:rPr>
                <w:rFonts w:ascii="Calibri" w:eastAsia="Times New Roman" w:hAnsi="Calibri" w:cs="Calibri"/>
                <w:b/>
                <w:bCs/>
                <w:color w:val="000000"/>
                <w:lang w:eastAsia="en-US"/>
              </w:rPr>
              <w:br/>
              <w:t>(dB)</w:t>
            </w:r>
          </w:p>
        </w:tc>
        <w:tc>
          <w:tcPr>
            <w:tcW w:w="1701" w:type="dxa"/>
            <w:tcBorders>
              <w:top w:val="single" w:sz="8" w:space="0" w:color="auto"/>
              <w:left w:val="nil"/>
              <w:right w:val="single" w:sz="8" w:space="0" w:color="auto"/>
            </w:tcBorders>
            <w:shd w:val="clear" w:color="auto" w:fill="auto"/>
            <w:vAlign w:val="center"/>
            <w:hideMark/>
          </w:tcPr>
          <w:p w:rsidR="00E9211E" w:rsidRPr="00AD3F10" w:rsidRDefault="00E9211E" w:rsidP="00E9211E">
            <w:pPr>
              <w:spacing w:after="0" w:line="240" w:lineRule="auto"/>
              <w:jc w:val="center"/>
              <w:rPr>
                <w:rFonts w:ascii="Calibri" w:eastAsia="Times New Roman" w:hAnsi="Calibri" w:cs="Calibri"/>
                <w:b/>
                <w:bCs/>
                <w:color w:val="000000"/>
                <w:lang w:eastAsia="en-US"/>
              </w:rPr>
            </w:pPr>
            <w:r w:rsidRPr="00AD3F10">
              <w:rPr>
                <w:rFonts w:ascii="Calibri" w:eastAsia="Times New Roman" w:hAnsi="Calibri" w:cs="Calibri"/>
                <w:b/>
                <w:bCs/>
                <w:color w:val="000000"/>
                <w:lang w:eastAsia="en-US"/>
              </w:rPr>
              <w:t>extrapolated MU</w:t>
            </w:r>
            <w:r w:rsidRPr="00AD3F10">
              <w:rPr>
                <w:rFonts w:ascii="Calibri" w:eastAsia="Times New Roman" w:hAnsi="Calibri" w:cs="Calibri"/>
                <w:b/>
                <w:bCs/>
                <w:color w:val="000000"/>
                <w:lang w:eastAsia="en-US"/>
              </w:rPr>
              <w:br/>
              <w:t>(dB)</w:t>
            </w:r>
          </w:p>
        </w:tc>
        <w:tc>
          <w:tcPr>
            <w:tcW w:w="1842" w:type="dxa"/>
            <w:tcBorders>
              <w:top w:val="single" w:sz="8" w:space="0" w:color="auto"/>
              <w:left w:val="nil"/>
              <w:right w:val="single" w:sz="8" w:space="0" w:color="auto"/>
            </w:tcBorders>
            <w:shd w:val="clear" w:color="auto" w:fill="auto"/>
            <w:vAlign w:val="center"/>
            <w:hideMark/>
          </w:tcPr>
          <w:p w:rsidR="00E9211E" w:rsidRPr="00AD3F10" w:rsidRDefault="00E9211E" w:rsidP="00E32A43">
            <w:pPr>
              <w:spacing w:after="0" w:line="240" w:lineRule="auto"/>
              <w:jc w:val="center"/>
              <w:rPr>
                <w:rFonts w:ascii="Calibri" w:eastAsia="Times New Roman" w:hAnsi="Calibri" w:cs="Calibri"/>
                <w:b/>
                <w:bCs/>
                <w:color w:val="000000"/>
                <w:lang w:eastAsia="en-US"/>
              </w:rPr>
            </w:pPr>
            <w:r w:rsidRPr="00AD3F10">
              <w:rPr>
                <w:rFonts w:ascii="Calibri" w:eastAsia="Times New Roman" w:hAnsi="Calibri" w:cs="Calibri"/>
                <w:b/>
                <w:bCs/>
                <w:color w:val="000000"/>
                <w:lang w:eastAsia="en-US"/>
              </w:rPr>
              <w:t xml:space="preserve">MU estimation including margin (dB) </w:t>
            </w:r>
          </w:p>
        </w:tc>
      </w:tr>
      <w:tr w:rsidR="00E32A43" w:rsidRPr="00AD3F10" w:rsidTr="00E9211E">
        <w:trPr>
          <w:trHeight w:val="315"/>
        </w:trPr>
        <w:tc>
          <w:tcPr>
            <w:tcW w:w="2295" w:type="dxa"/>
            <w:vMerge/>
            <w:tcBorders>
              <w:top w:val="single" w:sz="8" w:space="0" w:color="auto"/>
              <w:left w:val="single" w:sz="8" w:space="0" w:color="auto"/>
              <w:bottom w:val="single" w:sz="8" w:space="0" w:color="000000"/>
              <w:right w:val="single" w:sz="8" w:space="0" w:color="auto"/>
            </w:tcBorders>
            <w:vAlign w:val="center"/>
            <w:hideMark/>
          </w:tcPr>
          <w:p w:rsidR="00E32A43" w:rsidRPr="00AD3F10" w:rsidRDefault="00E32A43" w:rsidP="00E32A43">
            <w:pPr>
              <w:spacing w:after="0" w:line="240" w:lineRule="auto"/>
              <w:rPr>
                <w:rFonts w:ascii="Calibri" w:eastAsia="Times New Roman" w:hAnsi="Calibri" w:cs="Calibri"/>
                <w:b/>
                <w:bCs/>
                <w:color w:val="000000"/>
                <w:lang w:eastAsia="en-US"/>
              </w:rPr>
            </w:pPr>
          </w:p>
        </w:tc>
        <w:tc>
          <w:tcPr>
            <w:tcW w:w="824" w:type="dxa"/>
            <w:tcBorders>
              <w:top w:val="single" w:sz="8" w:space="0" w:color="auto"/>
              <w:left w:val="nil"/>
              <w:bottom w:val="single" w:sz="8" w:space="0" w:color="auto"/>
              <w:right w:val="single" w:sz="8" w:space="0" w:color="auto"/>
            </w:tcBorders>
            <w:shd w:val="clear" w:color="auto" w:fill="auto"/>
            <w:noWrap/>
            <w:vAlign w:val="center"/>
            <w:hideMark/>
          </w:tcPr>
          <w:p w:rsidR="00E32A43" w:rsidRPr="00AD3F10" w:rsidRDefault="00E32A43" w:rsidP="00E32A43">
            <w:pPr>
              <w:spacing w:after="0" w:line="240" w:lineRule="auto"/>
              <w:jc w:val="center"/>
              <w:rPr>
                <w:rFonts w:ascii="Calibri" w:eastAsia="Times New Roman" w:hAnsi="Calibri" w:cs="Calibri"/>
                <w:b/>
                <w:bCs/>
                <w:color w:val="000000"/>
                <w:lang w:eastAsia="en-US"/>
              </w:rPr>
            </w:pPr>
            <w:r w:rsidRPr="00AD3F10">
              <w:rPr>
                <w:rFonts w:ascii="Calibri" w:eastAsia="Times New Roman" w:hAnsi="Calibri" w:cs="Calibri"/>
                <w:b/>
                <w:bCs/>
                <w:color w:val="000000"/>
                <w:lang w:eastAsia="en-US"/>
              </w:rPr>
              <w:t>FR2a</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rsidR="00E32A43" w:rsidRPr="00AD3F10" w:rsidRDefault="00E32A43" w:rsidP="00E32A43">
            <w:pPr>
              <w:spacing w:after="0" w:line="240" w:lineRule="auto"/>
              <w:jc w:val="center"/>
              <w:rPr>
                <w:rFonts w:ascii="Calibri" w:eastAsia="Times New Roman" w:hAnsi="Calibri" w:cs="Calibri"/>
                <w:b/>
                <w:bCs/>
                <w:color w:val="000000"/>
                <w:lang w:eastAsia="en-US"/>
              </w:rPr>
            </w:pPr>
            <w:r w:rsidRPr="00AD3F10">
              <w:rPr>
                <w:rFonts w:ascii="Calibri" w:eastAsia="Times New Roman" w:hAnsi="Calibri" w:cs="Calibri"/>
                <w:b/>
                <w:bCs/>
                <w:color w:val="000000"/>
                <w:lang w:eastAsia="en-US"/>
              </w:rPr>
              <w:t>FR2b</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E32A43" w:rsidRPr="00AD3F10" w:rsidRDefault="00E32A43" w:rsidP="00E32A43">
            <w:pPr>
              <w:spacing w:after="0" w:line="240" w:lineRule="auto"/>
              <w:jc w:val="center"/>
              <w:rPr>
                <w:rFonts w:ascii="Calibri" w:eastAsia="Times New Roman" w:hAnsi="Calibri" w:cs="Calibri"/>
                <w:b/>
                <w:bCs/>
                <w:color w:val="000000"/>
                <w:lang w:eastAsia="en-US"/>
              </w:rPr>
            </w:pPr>
            <w:r w:rsidRPr="00AD3F10">
              <w:rPr>
                <w:rFonts w:ascii="Calibri" w:eastAsia="Times New Roman" w:hAnsi="Calibri" w:cs="Calibri"/>
                <w:b/>
                <w:bCs/>
                <w:color w:val="000000"/>
                <w:lang w:eastAsia="en-US"/>
              </w:rPr>
              <w:t>FR2c</w:t>
            </w:r>
          </w:p>
        </w:tc>
        <w:tc>
          <w:tcPr>
            <w:tcW w:w="1842" w:type="dxa"/>
            <w:tcBorders>
              <w:top w:val="single" w:sz="8" w:space="0" w:color="auto"/>
              <w:left w:val="nil"/>
              <w:bottom w:val="single" w:sz="8" w:space="0" w:color="auto"/>
              <w:right w:val="single" w:sz="8" w:space="0" w:color="auto"/>
            </w:tcBorders>
            <w:shd w:val="clear" w:color="auto" w:fill="auto"/>
            <w:noWrap/>
            <w:vAlign w:val="center"/>
            <w:hideMark/>
          </w:tcPr>
          <w:p w:rsidR="00E32A43" w:rsidRPr="00AD3F10" w:rsidRDefault="00E32A43" w:rsidP="00E32A43">
            <w:pPr>
              <w:spacing w:after="0" w:line="240" w:lineRule="auto"/>
              <w:jc w:val="center"/>
              <w:rPr>
                <w:rFonts w:ascii="Calibri" w:eastAsia="Times New Roman" w:hAnsi="Calibri" w:cs="Calibri"/>
                <w:b/>
                <w:bCs/>
                <w:color w:val="000000"/>
                <w:lang w:eastAsia="en-US"/>
              </w:rPr>
            </w:pPr>
            <w:r w:rsidRPr="00AD3F10">
              <w:rPr>
                <w:rFonts w:ascii="Calibri" w:eastAsia="Times New Roman" w:hAnsi="Calibri" w:cs="Calibri"/>
                <w:b/>
                <w:bCs/>
                <w:color w:val="000000"/>
                <w:lang w:eastAsia="en-US"/>
              </w:rPr>
              <w:t>FR2c</w:t>
            </w:r>
          </w:p>
        </w:tc>
      </w:tr>
      <w:tr w:rsidR="00E32A43" w:rsidRPr="00AD3F10" w:rsidTr="00E9211E">
        <w:trPr>
          <w:trHeight w:val="399"/>
        </w:trPr>
        <w:tc>
          <w:tcPr>
            <w:tcW w:w="2295" w:type="dxa"/>
            <w:tcBorders>
              <w:top w:val="nil"/>
              <w:left w:val="single" w:sz="8" w:space="0" w:color="auto"/>
              <w:bottom w:val="single" w:sz="8" w:space="0" w:color="auto"/>
              <w:right w:val="single" w:sz="8" w:space="0" w:color="auto"/>
            </w:tcBorders>
            <w:shd w:val="clear" w:color="auto" w:fill="auto"/>
            <w:vAlign w:val="center"/>
            <w:hideMark/>
          </w:tcPr>
          <w:p w:rsidR="00E32A43" w:rsidRPr="00AD3F10" w:rsidRDefault="00E32A43" w:rsidP="00E9211E">
            <w:pPr>
              <w:spacing w:after="0" w:line="240" w:lineRule="auto"/>
              <w:rPr>
                <w:rFonts w:ascii="Calibri" w:eastAsia="Times New Roman" w:hAnsi="Calibri" w:cs="Calibri"/>
                <w:b/>
                <w:bCs/>
                <w:color w:val="000000"/>
                <w:lang w:eastAsia="en-US"/>
              </w:rPr>
            </w:pPr>
            <w:r w:rsidRPr="00AD3F10">
              <w:rPr>
                <w:rFonts w:ascii="Calibri" w:eastAsia="Times New Roman" w:hAnsi="Calibri" w:cs="Calibri"/>
                <w:b/>
                <w:bCs/>
                <w:color w:val="000000"/>
                <w:lang w:eastAsia="en-US"/>
              </w:rPr>
              <w:t>reference frequency</w:t>
            </w:r>
            <w:r w:rsidR="00E9211E" w:rsidRPr="00AD3F10">
              <w:rPr>
                <w:rFonts w:ascii="Calibri" w:eastAsia="Times New Roman" w:hAnsi="Calibri" w:cs="Calibri"/>
                <w:b/>
                <w:bCs/>
                <w:color w:val="000000"/>
                <w:lang w:eastAsia="en-US"/>
              </w:rPr>
              <w:t xml:space="preserve"> (GHZ)</w:t>
            </w:r>
          </w:p>
        </w:tc>
        <w:tc>
          <w:tcPr>
            <w:tcW w:w="824" w:type="dxa"/>
            <w:tcBorders>
              <w:top w:val="nil"/>
              <w:left w:val="nil"/>
              <w:bottom w:val="single" w:sz="8" w:space="0" w:color="auto"/>
              <w:right w:val="single" w:sz="8" w:space="0" w:color="auto"/>
            </w:tcBorders>
            <w:shd w:val="clear" w:color="auto" w:fill="auto"/>
            <w:noWrap/>
            <w:vAlign w:val="center"/>
            <w:hideMark/>
          </w:tcPr>
          <w:p w:rsidR="00E32A43" w:rsidRPr="00AD3F10" w:rsidRDefault="00E32A43" w:rsidP="00E32A43">
            <w:pPr>
              <w:spacing w:after="0" w:line="240" w:lineRule="auto"/>
              <w:jc w:val="center"/>
              <w:rPr>
                <w:rFonts w:ascii="Calibri" w:eastAsia="Times New Roman" w:hAnsi="Calibri" w:cs="Calibri"/>
                <w:b/>
                <w:bCs/>
                <w:color w:val="000000"/>
                <w:lang w:eastAsia="en-US"/>
              </w:rPr>
            </w:pPr>
            <w:r w:rsidRPr="00AD3F10">
              <w:rPr>
                <w:rFonts w:ascii="Calibri" w:eastAsia="Times New Roman" w:hAnsi="Calibri" w:cs="Calibri"/>
                <w:b/>
                <w:bCs/>
                <w:color w:val="000000"/>
                <w:lang w:eastAsia="en-US"/>
              </w:rPr>
              <w:t>31.25</w:t>
            </w:r>
          </w:p>
        </w:tc>
        <w:tc>
          <w:tcPr>
            <w:tcW w:w="709" w:type="dxa"/>
            <w:tcBorders>
              <w:top w:val="nil"/>
              <w:left w:val="nil"/>
              <w:bottom w:val="single" w:sz="8" w:space="0" w:color="auto"/>
              <w:right w:val="single" w:sz="8" w:space="0" w:color="auto"/>
            </w:tcBorders>
            <w:shd w:val="clear" w:color="auto" w:fill="auto"/>
            <w:noWrap/>
            <w:vAlign w:val="center"/>
            <w:hideMark/>
          </w:tcPr>
          <w:p w:rsidR="00E32A43" w:rsidRPr="00AD3F10" w:rsidRDefault="00E32A43" w:rsidP="00E32A43">
            <w:pPr>
              <w:spacing w:after="0" w:line="240" w:lineRule="auto"/>
              <w:jc w:val="center"/>
              <w:rPr>
                <w:rFonts w:ascii="Calibri" w:eastAsia="Times New Roman" w:hAnsi="Calibri" w:cs="Calibri"/>
                <w:b/>
                <w:bCs/>
                <w:color w:val="000000"/>
                <w:lang w:eastAsia="en-US"/>
              </w:rPr>
            </w:pPr>
            <w:r w:rsidRPr="00AD3F10">
              <w:rPr>
                <w:rFonts w:ascii="Calibri" w:eastAsia="Times New Roman" w:hAnsi="Calibri" w:cs="Calibri"/>
                <w:b/>
                <w:bCs/>
                <w:color w:val="000000"/>
                <w:lang w:eastAsia="en-US"/>
              </w:rPr>
              <w:t>40.8</w:t>
            </w:r>
          </w:p>
        </w:tc>
        <w:tc>
          <w:tcPr>
            <w:tcW w:w="1701" w:type="dxa"/>
            <w:tcBorders>
              <w:top w:val="nil"/>
              <w:left w:val="nil"/>
              <w:bottom w:val="single" w:sz="8" w:space="0" w:color="auto"/>
              <w:right w:val="single" w:sz="8" w:space="0" w:color="auto"/>
            </w:tcBorders>
            <w:shd w:val="clear" w:color="auto" w:fill="auto"/>
            <w:noWrap/>
            <w:vAlign w:val="center"/>
            <w:hideMark/>
          </w:tcPr>
          <w:p w:rsidR="00E32A43" w:rsidRPr="00AD3F10" w:rsidRDefault="00E32A43" w:rsidP="00E32A43">
            <w:pPr>
              <w:spacing w:after="0" w:line="240" w:lineRule="auto"/>
              <w:jc w:val="center"/>
              <w:rPr>
                <w:rFonts w:ascii="Calibri" w:eastAsia="Times New Roman" w:hAnsi="Calibri" w:cs="Calibri"/>
                <w:b/>
                <w:bCs/>
                <w:color w:val="000000"/>
                <w:lang w:eastAsia="en-US"/>
              </w:rPr>
            </w:pPr>
            <w:r w:rsidRPr="00AD3F10">
              <w:rPr>
                <w:rFonts w:ascii="Calibri" w:eastAsia="Times New Roman" w:hAnsi="Calibri" w:cs="Calibri"/>
                <w:b/>
                <w:bCs/>
                <w:color w:val="000000"/>
                <w:lang w:eastAsia="en-US"/>
              </w:rPr>
              <w:t>44.3</w:t>
            </w:r>
          </w:p>
        </w:tc>
        <w:tc>
          <w:tcPr>
            <w:tcW w:w="1842" w:type="dxa"/>
            <w:tcBorders>
              <w:top w:val="nil"/>
              <w:left w:val="nil"/>
              <w:bottom w:val="single" w:sz="8" w:space="0" w:color="auto"/>
              <w:right w:val="single" w:sz="8" w:space="0" w:color="auto"/>
            </w:tcBorders>
            <w:shd w:val="clear" w:color="auto" w:fill="auto"/>
            <w:noWrap/>
            <w:vAlign w:val="center"/>
            <w:hideMark/>
          </w:tcPr>
          <w:p w:rsidR="00E32A43" w:rsidRPr="00AD3F10" w:rsidRDefault="00E32A43" w:rsidP="00E32A43">
            <w:pPr>
              <w:spacing w:after="0" w:line="240" w:lineRule="auto"/>
              <w:jc w:val="center"/>
              <w:rPr>
                <w:rFonts w:ascii="Calibri" w:eastAsia="Times New Roman" w:hAnsi="Calibri" w:cs="Calibri"/>
                <w:b/>
                <w:bCs/>
                <w:color w:val="000000"/>
                <w:lang w:eastAsia="en-US"/>
              </w:rPr>
            </w:pPr>
            <w:r w:rsidRPr="00AD3F10">
              <w:rPr>
                <w:rFonts w:ascii="Calibri" w:eastAsia="Times New Roman" w:hAnsi="Calibri" w:cs="Calibri"/>
                <w:b/>
                <w:bCs/>
                <w:color w:val="000000"/>
                <w:lang w:eastAsia="en-US"/>
              </w:rPr>
              <w:t> </w:t>
            </w:r>
          </w:p>
        </w:tc>
      </w:tr>
      <w:tr w:rsidR="00E32A43" w:rsidRPr="00AD3F10" w:rsidTr="00E9211E">
        <w:trPr>
          <w:trHeight w:val="60"/>
        </w:trPr>
        <w:tc>
          <w:tcPr>
            <w:tcW w:w="2295" w:type="dxa"/>
            <w:tcBorders>
              <w:top w:val="nil"/>
              <w:left w:val="single" w:sz="8" w:space="0" w:color="auto"/>
              <w:bottom w:val="single" w:sz="8" w:space="0" w:color="auto"/>
              <w:right w:val="single" w:sz="8" w:space="0" w:color="auto"/>
            </w:tcBorders>
            <w:shd w:val="clear" w:color="auto" w:fill="auto"/>
            <w:vAlign w:val="center"/>
            <w:hideMark/>
          </w:tcPr>
          <w:p w:rsidR="00E32A43" w:rsidRPr="00AD3F10" w:rsidRDefault="004F451E" w:rsidP="00E9211E">
            <w:pPr>
              <w:spacing w:after="0" w:line="240" w:lineRule="auto"/>
              <w:rPr>
                <w:rFonts w:ascii="Calibri" w:eastAsia="Times New Roman" w:hAnsi="Calibri" w:cs="Calibri"/>
                <w:b/>
                <w:bCs/>
                <w:color w:val="000000"/>
                <w:lang w:eastAsia="en-US"/>
              </w:rPr>
            </w:pPr>
            <w:r w:rsidRPr="00AD3F10">
              <w:rPr>
                <w:rFonts w:ascii="Calibri" w:eastAsia="Times New Roman" w:hAnsi="Calibri" w:cs="Calibri"/>
                <w:b/>
                <w:bCs/>
                <w:color w:val="000000"/>
                <w:lang w:eastAsia="en-US"/>
              </w:rPr>
              <w:t>6.5.2.3 Adjacent channel leakage ratio</w:t>
            </w:r>
          </w:p>
        </w:tc>
        <w:tc>
          <w:tcPr>
            <w:tcW w:w="824" w:type="dxa"/>
            <w:tcBorders>
              <w:top w:val="nil"/>
              <w:left w:val="nil"/>
              <w:bottom w:val="single" w:sz="8" w:space="0" w:color="auto"/>
              <w:right w:val="single" w:sz="8" w:space="0" w:color="auto"/>
            </w:tcBorders>
            <w:shd w:val="clear" w:color="auto" w:fill="auto"/>
            <w:noWrap/>
            <w:vAlign w:val="center"/>
            <w:hideMark/>
          </w:tcPr>
          <w:p w:rsidR="00E32A43" w:rsidRPr="00AD3F10" w:rsidRDefault="002A7563" w:rsidP="00E32A43">
            <w:pPr>
              <w:spacing w:after="0" w:line="240" w:lineRule="auto"/>
              <w:jc w:val="center"/>
              <w:rPr>
                <w:rFonts w:ascii="Calibri" w:eastAsia="Times New Roman" w:hAnsi="Calibri" w:cs="Calibri"/>
                <w:color w:val="000000"/>
                <w:lang w:eastAsia="en-US"/>
              </w:rPr>
            </w:pPr>
            <w:r w:rsidRPr="00AD3F10">
              <w:rPr>
                <w:rFonts w:ascii="Calibri" w:eastAsia="Times New Roman" w:hAnsi="Calibri" w:cs="Calibri"/>
                <w:color w:val="000000"/>
                <w:lang w:eastAsia="en-US"/>
              </w:rPr>
              <w:t>6</w:t>
            </w:r>
            <w:r w:rsidR="004F451E" w:rsidRPr="00AD3F10">
              <w:rPr>
                <w:rFonts w:ascii="Calibri" w:eastAsia="Times New Roman" w:hAnsi="Calibri" w:cs="Calibri"/>
                <w:color w:val="000000"/>
                <w:lang w:eastAsia="en-US"/>
              </w:rPr>
              <w:t>.09</w:t>
            </w:r>
          </w:p>
        </w:tc>
        <w:tc>
          <w:tcPr>
            <w:tcW w:w="709" w:type="dxa"/>
            <w:tcBorders>
              <w:top w:val="nil"/>
              <w:left w:val="nil"/>
              <w:bottom w:val="single" w:sz="8" w:space="0" w:color="auto"/>
              <w:right w:val="single" w:sz="8" w:space="0" w:color="auto"/>
            </w:tcBorders>
            <w:shd w:val="clear" w:color="auto" w:fill="auto"/>
            <w:noWrap/>
            <w:vAlign w:val="center"/>
            <w:hideMark/>
          </w:tcPr>
          <w:p w:rsidR="00E32A43" w:rsidRPr="00AD3F10" w:rsidRDefault="002A7563" w:rsidP="00E32A43">
            <w:pPr>
              <w:spacing w:after="0" w:line="240" w:lineRule="auto"/>
              <w:jc w:val="center"/>
              <w:rPr>
                <w:rFonts w:ascii="Calibri" w:eastAsia="Times New Roman" w:hAnsi="Calibri" w:cs="Calibri"/>
                <w:color w:val="000000"/>
                <w:lang w:eastAsia="en-US"/>
              </w:rPr>
            </w:pPr>
            <w:r w:rsidRPr="00AD3F10">
              <w:rPr>
                <w:rFonts w:ascii="Calibri" w:eastAsia="Times New Roman" w:hAnsi="Calibri" w:cs="Calibri"/>
                <w:color w:val="000000"/>
                <w:lang w:eastAsia="en-US"/>
              </w:rPr>
              <w:t>6</w:t>
            </w:r>
            <w:r w:rsidR="00E32A43" w:rsidRPr="00AD3F10">
              <w:rPr>
                <w:rFonts w:ascii="Calibri" w:eastAsia="Times New Roman" w:hAnsi="Calibri" w:cs="Calibri"/>
                <w:color w:val="000000"/>
                <w:lang w:eastAsia="en-US"/>
              </w:rPr>
              <w:t>.09</w:t>
            </w:r>
          </w:p>
        </w:tc>
        <w:tc>
          <w:tcPr>
            <w:tcW w:w="1701" w:type="dxa"/>
            <w:tcBorders>
              <w:top w:val="nil"/>
              <w:left w:val="nil"/>
              <w:bottom w:val="single" w:sz="8" w:space="0" w:color="auto"/>
              <w:right w:val="single" w:sz="8" w:space="0" w:color="auto"/>
            </w:tcBorders>
            <w:shd w:val="clear" w:color="auto" w:fill="auto"/>
            <w:noWrap/>
            <w:vAlign w:val="center"/>
            <w:hideMark/>
          </w:tcPr>
          <w:p w:rsidR="00E32A43" w:rsidRPr="00AD3F10" w:rsidRDefault="002A7563" w:rsidP="00E32A43">
            <w:pPr>
              <w:spacing w:after="0" w:line="240" w:lineRule="auto"/>
              <w:jc w:val="center"/>
              <w:rPr>
                <w:rFonts w:ascii="Calibri" w:eastAsia="Times New Roman" w:hAnsi="Calibri" w:cs="Calibri"/>
                <w:color w:val="000000"/>
                <w:lang w:eastAsia="en-US"/>
              </w:rPr>
            </w:pPr>
            <w:r w:rsidRPr="00AD3F10">
              <w:rPr>
                <w:rFonts w:ascii="Calibri" w:eastAsia="Times New Roman" w:hAnsi="Calibri" w:cs="Calibri"/>
                <w:color w:val="000000"/>
                <w:lang w:eastAsia="en-US"/>
              </w:rPr>
              <w:t>6</w:t>
            </w:r>
            <w:r w:rsidR="004F451E" w:rsidRPr="00AD3F10">
              <w:rPr>
                <w:rFonts w:ascii="Calibri" w:eastAsia="Times New Roman" w:hAnsi="Calibri" w:cs="Calibri"/>
                <w:color w:val="000000"/>
                <w:lang w:eastAsia="en-US"/>
              </w:rPr>
              <w:t>.09</w:t>
            </w:r>
          </w:p>
        </w:tc>
        <w:tc>
          <w:tcPr>
            <w:tcW w:w="1842" w:type="dxa"/>
            <w:tcBorders>
              <w:top w:val="nil"/>
              <w:left w:val="nil"/>
              <w:bottom w:val="single" w:sz="8" w:space="0" w:color="auto"/>
              <w:right w:val="single" w:sz="8" w:space="0" w:color="auto"/>
            </w:tcBorders>
            <w:shd w:val="clear" w:color="auto" w:fill="auto"/>
            <w:noWrap/>
            <w:vAlign w:val="center"/>
            <w:hideMark/>
          </w:tcPr>
          <w:p w:rsidR="00E32A43" w:rsidRPr="00AD3F10" w:rsidRDefault="002A7563" w:rsidP="004F451E">
            <w:pPr>
              <w:spacing w:after="0" w:line="240" w:lineRule="auto"/>
              <w:jc w:val="center"/>
              <w:rPr>
                <w:rFonts w:ascii="Calibri" w:eastAsia="Times New Roman" w:hAnsi="Calibri" w:cs="Calibri"/>
                <w:b/>
                <w:bCs/>
                <w:color w:val="000000"/>
                <w:lang w:eastAsia="en-US"/>
              </w:rPr>
            </w:pPr>
            <w:r w:rsidRPr="00AD3F10">
              <w:rPr>
                <w:rFonts w:ascii="Calibri" w:eastAsia="Times New Roman" w:hAnsi="Calibri" w:cs="Calibri"/>
                <w:b/>
                <w:bCs/>
                <w:color w:val="000000"/>
                <w:lang w:eastAsia="en-US"/>
              </w:rPr>
              <w:t>6</w:t>
            </w:r>
            <w:r w:rsidR="00E32A43" w:rsidRPr="00AD3F10">
              <w:rPr>
                <w:rFonts w:ascii="Calibri" w:eastAsia="Times New Roman" w:hAnsi="Calibri" w:cs="Calibri"/>
                <w:b/>
                <w:bCs/>
                <w:color w:val="000000"/>
                <w:lang w:eastAsia="en-US"/>
              </w:rPr>
              <w:t>.</w:t>
            </w:r>
            <w:r w:rsidR="004F451E" w:rsidRPr="00AD3F10">
              <w:rPr>
                <w:rFonts w:ascii="Calibri" w:eastAsia="Times New Roman" w:hAnsi="Calibri" w:cs="Calibri"/>
                <w:b/>
                <w:bCs/>
                <w:color w:val="000000"/>
                <w:lang w:eastAsia="en-US"/>
              </w:rPr>
              <w:t>59</w:t>
            </w:r>
          </w:p>
        </w:tc>
      </w:tr>
    </w:tbl>
    <w:p w:rsidR="00934991" w:rsidRPr="00AD3F10" w:rsidRDefault="00934991" w:rsidP="00934991">
      <w:pPr>
        <w:rPr>
          <w:lang w:eastAsia="en-US"/>
        </w:rPr>
      </w:pPr>
    </w:p>
    <w:p w:rsidR="003540AE" w:rsidRPr="00AD3F10" w:rsidRDefault="004F451E" w:rsidP="003540AE">
      <w:pPr>
        <w:rPr>
          <w:lang w:eastAsia="en-US"/>
        </w:rPr>
      </w:pPr>
      <w:r w:rsidRPr="00AD3F10">
        <w:rPr>
          <w:lang w:eastAsia="en-US"/>
        </w:rPr>
        <w:t xml:space="preserve">We note that ACLR has </w:t>
      </w:r>
      <w:r w:rsidR="003540AE" w:rsidRPr="00AD3F10">
        <w:rPr>
          <w:lang w:eastAsia="en-US"/>
        </w:rPr>
        <w:t>testability issue</w:t>
      </w:r>
      <w:r w:rsidR="00E9211E" w:rsidRPr="00AD3F10">
        <w:rPr>
          <w:lang w:eastAsia="en-US"/>
        </w:rPr>
        <w:t>s</w:t>
      </w:r>
      <w:r w:rsidR="003540AE" w:rsidRPr="00AD3F10">
        <w:rPr>
          <w:lang w:eastAsia="en-US"/>
        </w:rPr>
        <w:t xml:space="preserve"> for frequencies smaller than or equal to 40.8 GHz </w:t>
      </w:r>
      <w:r w:rsidRPr="00AD3F10">
        <w:rPr>
          <w:lang w:eastAsia="en-US"/>
        </w:rPr>
        <w:t xml:space="preserve">and </w:t>
      </w:r>
      <w:r w:rsidR="003540AE" w:rsidRPr="00AD3F10">
        <w:rPr>
          <w:lang w:eastAsia="en-US"/>
        </w:rPr>
        <w:t xml:space="preserve">will have the same or more severe issues for band n259 due to the increased path loss and noise level. </w:t>
      </w:r>
    </w:p>
    <w:p w:rsidR="003540AE" w:rsidRPr="00AD3F10" w:rsidRDefault="003540AE" w:rsidP="003540AE">
      <w:pPr>
        <w:pStyle w:val="berschrift1"/>
        <w:rPr>
          <w:rFonts w:cs="Arial"/>
          <w:lang w:val="en-US"/>
        </w:rPr>
      </w:pPr>
      <w:r w:rsidRPr="00AD3F10">
        <w:rPr>
          <w:rFonts w:cs="Arial"/>
          <w:lang w:val="en-US"/>
        </w:rPr>
        <w:t>Conclusion</w:t>
      </w:r>
    </w:p>
    <w:p w:rsidR="003540AE" w:rsidRPr="00AD3F10" w:rsidRDefault="003540AE" w:rsidP="003540AE">
      <w:pPr>
        <w:rPr>
          <w:b/>
          <w:lang w:eastAsia="en-US"/>
        </w:rPr>
      </w:pPr>
      <w:r w:rsidRPr="00AD3F10">
        <w:rPr>
          <w:b/>
          <w:lang w:eastAsia="en-US"/>
        </w:rPr>
        <w:t>Proposal</w:t>
      </w:r>
      <w:r w:rsidR="002A7563" w:rsidRPr="00AD3F10">
        <w:rPr>
          <w:b/>
          <w:lang w:eastAsia="en-US"/>
        </w:rPr>
        <w:t xml:space="preserve"> 1</w:t>
      </w:r>
      <w:r w:rsidRPr="00AD3F10">
        <w:rPr>
          <w:b/>
          <w:lang w:eastAsia="en-US"/>
        </w:rPr>
        <w:t>: Apply the MU values in Table 1</w:t>
      </w:r>
      <w:r w:rsidR="0081599E" w:rsidRPr="00AD3F10">
        <w:rPr>
          <w:b/>
          <w:lang w:eastAsia="en-US"/>
        </w:rPr>
        <w:t xml:space="preserve"> </w:t>
      </w:r>
      <w:r w:rsidRPr="00AD3F10">
        <w:rPr>
          <w:b/>
          <w:lang w:eastAsia="en-US"/>
        </w:rPr>
        <w:t xml:space="preserve">as basis solely for TT derivation and not </w:t>
      </w:r>
      <w:r w:rsidR="00E9211E" w:rsidRPr="00AD3F10">
        <w:rPr>
          <w:b/>
          <w:lang w:eastAsia="en-US"/>
        </w:rPr>
        <w:t xml:space="preserve">to </w:t>
      </w:r>
      <w:r w:rsidRPr="00AD3F10">
        <w:rPr>
          <w:b/>
          <w:lang w:eastAsia="en-US"/>
        </w:rPr>
        <w:t xml:space="preserve">use them for MTSU </w:t>
      </w:r>
    </w:p>
    <w:p w:rsidR="002A7563" w:rsidRPr="00AD3F10" w:rsidRDefault="002A7563" w:rsidP="003540AE">
      <w:pPr>
        <w:rPr>
          <w:b/>
          <w:lang w:eastAsia="en-US"/>
        </w:rPr>
      </w:pPr>
      <w:r w:rsidRPr="00AD3F10">
        <w:rPr>
          <w:b/>
          <w:lang w:eastAsia="en-US"/>
        </w:rPr>
        <w:t xml:space="preserve">Proposal 2: For MTSU related to n259, analyze at least mismatch, quality of quiet zone, impact of noise, relaxation and testability in detail. Analysis of the other MU contributors is encouraged. </w:t>
      </w:r>
    </w:p>
    <w:p w:rsidR="00030A7F" w:rsidRPr="00AD3F10" w:rsidRDefault="00030A7F" w:rsidP="00030A7F">
      <w:pPr>
        <w:pStyle w:val="berschrift1"/>
        <w:numPr>
          <w:ilvl w:val="0"/>
          <w:numId w:val="0"/>
        </w:numPr>
        <w:ind w:left="432" w:hanging="432"/>
        <w:rPr>
          <w:rFonts w:cs="Arial"/>
          <w:lang w:val="en-US"/>
        </w:rPr>
      </w:pPr>
      <w:bookmarkStart w:id="2" w:name="_Ref473660868"/>
      <w:bookmarkStart w:id="3" w:name="_Ref473660708"/>
      <w:bookmarkStart w:id="4" w:name="OLE_LINK6"/>
      <w:bookmarkStart w:id="5" w:name="OLE_LINK7"/>
      <w:bookmarkEnd w:id="0"/>
      <w:bookmarkEnd w:id="1"/>
      <w:r w:rsidRPr="00AD3F10">
        <w:rPr>
          <w:rFonts w:cs="Arial"/>
          <w:lang w:val="en-US"/>
        </w:rPr>
        <w:t>References</w:t>
      </w:r>
    </w:p>
    <w:bookmarkEnd w:id="2"/>
    <w:bookmarkEnd w:id="3"/>
    <w:bookmarkEnd w:id="4"/>
    <w:bookmarkEnd w:id="5"/>
    <w:p w:rsidR="001D0368" w:rsidRPr="00AD3F10" w:rsidRDefault="00BE43A9" w:rsidP="00BE43A9">
      <w:pPr>
        <w:pStyle w:val="Listenabsatz"/>
        <w:numPr>
          <w:ilvl w:val="0"/>
          <w:numId w:val="4"/>
        </w:numPr>
        <w:spacing w:after="0" w:line="240" w:lineRule="auto"/>
        <w:rPr>
          <w:lang w:val="en-US"/>
        </w:rPr>
      </w:pPr>
      <w:r w:rsidRPr="00AD3F10">
        <w:rPr>
          <w:lang w:val="en-US"/>
        </w:rPr>
        <w:t>R5-204851</w:t>
      </w:r>
      <w:r w:rsidR="00DD77D7" w:rsidRPr="00AD3F10">
        <w:rPr>
          <w:lang w:val="en-US"/>
        </w:rPr>
        <w:t xml:space="preserve">, </w:t>
      </w:r>
      <w:r w:rsidRPr="00AD3F10">
        <w:rPr>
          <w:lang w:val="en-US"/>
        </w:rPr>
        <w:t xml:space="preserve">Update of </w:t>
      </w:r>
      <w:r w:rsidR="003959AE" w:rsidRPr="00AD3F10">
        <w:rPr>
          <w:rFonts w:eastAsia="Segoe UI"/>
          <w:lang w:val="en-US"/>
        </w:rPr>
        <w:t>WF on Band n259</w:t>
      </w:r>
      <w:r w:rsidR="003959AE" w:rsidRPr="00AD3F10">
        <w:rPr>
          <w:lang w:val="en-US"/>
        </w:rPr>
        <w:t xml:space="preserve">, NTT </w:t>
      </w:r>
      <w:proofErr w:type="spellStart"/>
      <w:r w:rsidR="003959AE" w:rsidRPr="00AD3F10">
        <w:rPr>
          <w:lang w:val="en-US"/>
        </w:rPr>
        <w:t>Docomo</w:t>
      </w:r>
      <w:proofErr w:type="spellEnd"/>
      <w:r w:rsidR="00DD77D7" w:rsidRPr="00AD3F10">
        <w:rPr>
          <w:lang w:val="en-US"/>
        </w:rPr>
        <w:t>, Inc.</w:t>
      </w:r>
      <w:r w:rsidR="003959AE" w:rsidRPr="00AD3F10">
        <w:rPr>
          <w:lang w:val="en-US"/>
        </w:rPr>
        <w:t xml:space="preserve">, </w:t>
      </w:r>
      <w:r w:rsidR="0069344D" w:rsidRPr="00AD3F10">
        <w:rPr>
          <w:lang w:val="en-GB"/>
        </w:rPr>
        <w:t>3GPP TSG RAN WG 5 Meeting #8</w:t>
      </w:r>
      <w:r w:rsidRPr="00AD3F10">
        <w:rPr>
          <w:lang w:val="en-GB"/>
        </w:rPr>
        <w:t>8-e</w:t>
      </w:r>
      <w:r w:rsidR="0069344D" w:rsidRPr="00AD3F10">
        <w:rPr>
          <w:lang w:val="en-GB"/>
        </w:rPr>
        <w:t>,</w:t>
      </w:r>
      <w:r w:rsidR="00DD77D7" w:rsidRPr="00AD3F10">
        <w:rPr>
          <w:lang w:val="en-US"/>
        </w:rPr>
        <w:t xml:space="preserve"> </w:t>
      </w:r>
      <w:r w:rsidRPr="00AD3F10">
        <w:rPr>
          <w:lang w:val="en-US"/>
        </w:rPr>
        <w:t>August</w:t>
      </w:r>
      <w:r w:rsidR="00DD77D7" w:rsidRPr="00AD3F10">
        <w:rPr>
          <w:lang w:val="en-US"/>
        </w:rPr>
        <w:t xml:space="preserve"> 20</w:t>
      </w:r>
      <w:r w:rsidRPr="00AD3F10">
        <w:rPr>
          <w:lang w:val="en-US"/>
        </w:rPr>
        <w:t>20</w:t>
      </w:r>
    </w:p>
    <w:p w:rsidR="00EA3339" w:rsidRPr="001D0368" w:rsidRDefault="00EA3339" w:rsidP="001D0368">
      <w:pPr>
        <w:spacing w:after="0" w:line="240" w:lineRule="auto"/>
      </w:pPr>
      <w:bookmarkStart w:id="6" w:name="_GoBack"/>
      <w:bookmarkEnd w:id="6"/>
    </w:p>
    <w:sectPr w:rsidR="00EA3339" w:rsidRPr="001D0368" w:rsidSect="004357D6">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A18" w:rsidRDefault="00AF4A18" w:rsidP="00371D7D">
      <w:r>
        <w:separator/>
      </w:r>
    </w:p>
  </w:endnote>
  <w:endnote w:type="continuationSeparator" w:id="0">
    <w:p w:rsidR="00AF4A18" w:rsidRDefault="00AF4A1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Pr="000E7B1E" w:rsidRDefault="00953E1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AD3F10">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A18" w:rsidRDefault="00AF4A18" w:rsidP="00371D7D">
      <w:r>
        <w:separator/>
      </w:r>
    </w:p>
  </w:footnote>
  <w:footnote w:type="continuationSeparator" w:id="0">
    <w:p w:rsidR="00AF4A18" w:rsidRDefault="00AF4A1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3"/>
  </w:num>
  <w:num w:numId="3">
    <w:abstractNumId w:val="2"/>
  </w:num>
  <w:num w:numId="4">
    <w:abstractNumId w:val="7"/>
  </w:num>
  <w:num w:numId="5">
    <w:abstractNumId w:val="14"/>
  </w:num>
  <w:num w:numId="6">
    <w:abstractNumId w:val="1"/>
  </w:num>
  <w:num w:numId="7">
    <w:abstractNumId w:val="8"/>
  </w:num>
  <w:num w:numId="8">
    <w:abstractNumId w:val="9"/>
  </w:num>
  <w:num w:numId="9">
    <w:abstractNumId w:val="3"/>
  </w:num>
  <w:num w:numId="10">
    <w:abstractNumId w:val="15"/>
  </w:num>
  <w:num w:numId="11">
    <w:abstractNumId w:val="6"/>
  </w:num>
  <w:num w:numId="12">
    <w:abstractNumId w:val="12"/>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5"/>
  </w:num>
  <w:num w:numId="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9D3"/>
    <w:rsid w:val="00025D21"/>
    <w:rsid w:val="00026942"/>
    <w:rsid w:val="000304B0"/>
    <w:rsid w:val="00030A7F"/>
    <w:rsid w:val="00030EFF"/>
    <w:rsid w:val="00031541"/>
    <w:rsid w:val="00032153"/>
    <w:rsid w:val="00032AC4"/>
    <w:rsid w:val="00033040"/>
    <w:rsid w:val="0003328A"/>
    <w:rsid w:val="000339D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0435"/>
    <w:rsid w:val="00071625"/>
    <w:rsid w:val="00075135"/>
    <w:rsid w:val="000762B7"/>
    <w:rsid w:val="00076F79"/>
    <w:rsid w:val="000814E4"/>
    <w:rsid w:val="00081C35"/>
    <w:rsid w:val="000828B5"/>
    <w:rsid w:val="00082A5B"/>
    <w:rsid w:val="000867D6"/>
    <w:rsid w:val="00091E4F"/>
    <w:rsid w:val="00091E57"/>
    <w:rsid w:val="00092C97"/>
    <w:rsid w:val="0009370F"/>
    <w:rsid w:val="00096AAF"/>
    <w:rsid w:val="000975AC"/>
    <w:rsid w:val="000A0514"/>
    <w:rsid w:val="000A262C"/>
    <w:rsid w:val="000A2FB0"/>
    <w:rsid w:val="000A3594"/>
    <w:rsid w:val="000A3642"/>
    <w:rsid w:val="000A4DB9"/>
    <w:rsid w:val="000A6628"/>
    <w:rsid w:val="000B0F54"/>
    <w:rsid w:val="000B3739"/>
    <w:rsid w:val="000B3811"/>
    <w:rsid w:val="000B663A"/>
    <w:rsid w:val="000B7FC7"/>
    <w:rsid w:val="000C194F"/>
    <w:rsid w:val="000C2BBF"/>
    <w:rsid w:val="000C2BDD"/>
    <w:rsid w:val="000C4CA4"/>
    <w:rsid w:val="000C4F6E"/>
    <w:rsid w:val="000C7078"/>
    <w:rsid w:val="000C7318"/>
    <w:rsid w:val="000C7565"/>
    <w:rsid w:val="000C786B"/>
    <w:rsid w:val="000D0908"/>
    <w:rsid w:val="000D0E8E"/>
    <w:rsid w:val="000D0EAF"/>
    <w:rsid w:val="000D0EEE"/>
    <w:rsid w:val="000D253B"/>
    <w:rsid w:val="000D347D"/>
    <w:rsid w:val="000D68AB"/>
    <w:rsid w:val="000D79F1"/>
    <w:rsid w:val="000E00AB"/>
    <w:rsid w:val="000E3DB2"/>
    <w:rsid w:val="000E3EE6"/>
    <w:rsid w:val="000E4B51"/>
    <w:rsid w:val="000E4F8E"/>
    <w:rsid w:val="000E75B0"/>
    <w:rsid w:val="000E7B1E"/>
    <w:rsid w:val="000F13B3"/>
    <w:rsid w:val="000F2169"/>
    <w:rsid w:val="00100D39"/>
    <w:rsid w:val="00102671"/>
    <w:rsid w:val="00104357"/>
    <w:rsid w:val="0010446A"/>
    <w:rsid w:val="0010792C"/>
    <w:rsid w:val="00110B13"/>
    <w:rsid w:val="00111208"/>
    <w:rsid w:val="00111364"/>
    <w:rsid w:val="001114C1"/>
    <w:rsid w:val="00112164"/>
    <w:rsid w:val="001137DA"/>
    <w:rsid w:val="0011436A"/>
    <w:rsid w:val="00114524"/>
    <w:rsid w:val="001147B0"/>
    <w:rsid w:val="00114995"/>
    <w:rsid w:val="00114B5D"/>
    <w:rsid w:val="00116DFF"/>
    <w:rsid w:val="00116E87"/>
    <w:rsid w:val="001178F0"/>
    <w:rsid w:val="00117F9C"/>
    <w:rsid w:val="001221A8"/>
    <w:rsid w:val="00123745"/>
    <w:rsid w:val="00126924"/>
    <w:rsid w:val="00126CE6"/>
    <w:rsid w:val="001300A9"/>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04D"/>
    <w:rsid w:val="00180494"/>
    <w:rsid w:val="001810A2"/>
    <w:rsid w:val="00182FB6"/>
    <w:rsid w:val="00183822"/>
    <w:rsid w:val="00184003"/>
    <w:rsid w:val="001868F2"/>
    <w:rsid w:val="00193A32"/>
    <w:rsid w:val="00194567"/>
    <w:rsid w:val="00197DE9"/>
    <w:rsid w:val="001A042A"/>
    <w:rsid w:val="001A1BA0"/>
    <w:rsid w:val="001A1BCD"/>
    <w:rsid w:val="001A2E0D"/>
    <w:rsid w:val="001B0670"/>
    <w:rsid w:val="001B0742"/>
    <w:rsid w:val="001B137F"/>
    <w:rsid w:val="001B2191"/>
    <w:rsid w:val="001B2735"/>
    <w:rsid w:val="001B5FE9"/>
    <w:rsid w:val="001B6341"/>
    <w:rsid w:val="001C0307"/>
    <w:rsid w:val="001C04CA"/>
    <w:rsid w:val="001C0EA6"/>
    <w:rsid w:val="001C1D01"/>
    <w:rsid w:val="001C4E17"/>
    <w:rsid w:val="001C6A9C"/>
    <w:rsid w:val="001C766E"/>
    <w:rsid w:val="001D0368"/>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59D1"/>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5D2C"/>
    <w:rsid w:val="002372D8"/>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4D54"/>
    <w:rsid w:val="0026652B"/>
    <w:rsid w:val="002674A8"/>
    <w:rsid w:val="00267A89"/>
    <w:rsid w:val="002700B4"/>
    <w:rsid w:val="0027049D"/>
    <w:rsid w:val="00270E6B"/>
    <w:rsid w:val="00270E8B"/>
    <w:rsid w:val="00272785"/>
    <w:rsid w:val="002749E2"/>
    <w:rsid w:val="002759B6"/>
    <w:rsid w:val="0027676D"/>
    <w:rsid w:val="00276F00"/>
    <w:rsid w:val="00282191"/>
    <w:rsid w:val="00284170"/>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AB2"/>
    <w:rsid w:val="002A3936"/>
    <w:rsid w:val="002A659B"/>
    <w:rsid w:val="002A7563"/>
    <w:rsid w:val="002B111A"/>
    <w:rsid w:val="002B15F6"/>
    <w:rsid w:val="002B2394"/>
    <w:rsid w:val="002B3C4B"/>
    <w:rsid w:val="002B3E93"/>
    <w:rsid w:val="002B4BF3"/>
    <w:rsid w:val="002B5523"/>
    <w:rsid w:val="002B5708"/>
    <w:rsid w:val="002B5F65"/>
    <w:rsid w:val="002B7900"/>
    <w:rsid w:val="002C08BA"/>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71"/>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456F1"/>
    <w:rsid w:val="003479A7"/>
    <w:rsid w:val="00350B60"/>
    <w:rsid w:val="0035204A"/>
    <w:rsid w:val="003526DA"/>
    <w:rsid w:val="003540AE"/>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1A94"/>
    <w:rsid w:val="0038201E"/>
    <w:rsid w:val="003838EA"/>
    <w:rsid w:val="00384B70"/>
    <w:rsid w:val="0038590F"/>
    <w:rsid w:val="003959AE"/>
    <w:rsid w:val="00396C99"/>
    <w:rsid w:val="003976B5"/>
    <w:rsid w:val="003A16D1"/>
    <w:rsid w:val="003A1D27"/>
    <w:rsid w:val="003A575F"/>
    <w:rsid w:val="003A7774"/>
    <w:rsid w:val="003B0E2C"/>
    <w:rsid w:val="003B0EF9"/>
    <w:rsid w:val="003B1E3D"/>
    <w:rsid w:val="003B207F"/>
    <w:rsid w:val="003B2597"/>
    <w:rsid w:val="003B25F9"/>
    <w:rsid w:val="003B2A95"/>
    <w:rsid w:val="003B3C34"/>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6F60"/>
    <w:rsid w:val="003D7784"/>
    <w:rsid w:val="003D7B2C"/>
    <w:rsid w:val="003E12B0"/>
    <w:rsid w:val="003E2565"/>
    <w:rsid w:val="003E5779"/>
    <w:rsid w:val="003E5D20"/>
    <w:rsid w:val="003F0E6E"/>
    <w:rsid w:val="003F1A78"/>
    <w:rsid w:val="004002C9"/>
    <w:rsid w:val="004033E9"/>
    <w:rsid w:val="00406C8E"/>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7D6"/>
    <w:rsid w:val="00435B28"/>
    <w:rsid w:val="004372AD"/>
    <w:rsid w:val="00437639"/>
    <w:rsid w:val="00437CF2"/>
    <w:rsid w:val="00442027"/>
    <w:rsid w:val="00445FD4"/>
    <w:rsid w:val="00446661"/>
    <w:rsid w:val="0045035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52BE"/>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DDF"/>
    <w:rsid w:val="004E6E34"/>
    <w:rsid w:val="004E7178"/>
    <w:rsid w:val="004F0412"/>
    <w:rsid w:val="004F17EE"/>
    <w:rsid w:val="004F27A7"/>
    <w:rsid w:val="004F36A7"/>
    <w:rsid w:val="004F451E"/>
    <w:rsid w:val="004F4D21"/>
    <w:rsid w:val="004F593F"/>
    <w:rsid w:val="004F65A2"/>
    <w:rsid w:val="004F697D"/>
    <w:rsid w:val="0050130B"/>
    <w:rsid w:val="00502740"/>
    <w:rsid w:val="00502B4D"/>
    <w:rsid w:val="00507CA1"/>
    <w:rsid w:val="00510F85"/>
    <w:rsid w:val="00514970"/>
    <w:rsid w:val="00516D9C"/>
    <w:rsid w:val="00517206"/>
    <w:rsid w:val="00517DEB"/>
    <w:rsid w:val="005200C8"/>
    <w:rsid w:val="005208AB"/>
    <w:rsid w:val="00521C12"/>
    <w:rsid w:val="0052278C"/>
    <w:rsid w:val="005242EF"/>
    <w:rsid w:val="005247E8"/>
    <w:rsid w:val="0052481A"/>
    <w:rsid w:val="00524B4F"/>
    <w:rsid w:val="00524CE0"/>
    <w:rsid w:val="00525441"/>
    <w:rsid w:val="00525ACD"/>
    <w:rsid w:val="0053081E"/>
    <w:rsid w:val="00531061"/>
    <w:rsid w:val="00533FBD"/>
    <w:rsid w:val="00534096"/>
    <w:rsid w:val="005346EC"/>
    <w:rsid w:val="005356CB"/>
    <w:rsid w:val="005374EC"/>
    <w:rsid w:val="00537AA4"/>
    <w:rsid w:val="00542862"/>
    <w:rsid w:val="005455AD"/>
    <w:rsid w:val="005466D7"/>
    <w:rsid w:val="0054772B"/>
    <w:rsid w:val="00551E7D"/>
    <w:rsid w:val="00552E60"/>
    <w:rsid w:val="005535D7"/>
    <w:rsid w:val="005538F3"/>
    <w:rsid w:val="0055483C"/>
    <w:rsid w:val="00556DC3"/>
    <w:rsid w:val="00556F3D"/>
    <w:rsid w:val="00557539"/>
    <w:rsid w:val="0056181A"/>
    <w:rsid w:val="00564166"/>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64E4"/>
    <w:rsid w:val="00597CCB"/>
    <w:rsid w:val="005A04AB"/>
    <w:rsid w:val="005A0CC9"/>
    <w:rsid w:val="005A1B5E"/>
    <w:rsid w:val="005A1D83"/>
    <w:rsid w:val="005A1E56"/>
    <w:rsid w:val="005A461D"/>
    <w:rsid w:val="005A7355"/>
    <w:rsid w:val="005B53C1"/>
    <w:rsid w:val="005B5DD3"/>
    <w:rsid w:val="005C1279"/>
    <w:rsid w:val="005C24A4"/>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C72"/>
    <w:rsid w:val="005F6F36"/>
    <w:rsid w:val="006000C7"/>
    <w:rsid w:val="0060326E"/>
    <w:rsid w:val="00606D88"/>
    <w:rsid w:val="00606DB6"/>
    <w:rsid w:val="00607A72"/>
    <w:rsid w:val="0061069A"/>
    <w:rsid w:val="00611A7F"/>
    <w:rsid w:val="00612270"/>
    <w:rsid w:val="006128C1"/>
    <w:rsid w:val="006137C7"/>
    <w:rsid w:val="00613BCA"/>
    <w:rsid w:val="0061650C"/>
    <w:rsid w:val="00617172"/>
    <w:rsid w:val="006175A0"/>
    <w:rsid w:val="00617926"/>
    <w:rsid w:val="00621319"/>
    <w:rsid w:val="00624742"/>
    <w:rsid w:val="00625C51"/>
    <w:rsid w:val="00626288"/>
    <w:rsid w:val="00627053"/>
    <w:rsid w:val="00627A63"/>
    <w:rsid w:val="00630334"/>
    <w:rsid w:val="00632E21"/>
    <w:rsid w:val="0063332F"/>
    <w:rsid w:val="00633549"/>
    <w:rsid w:val="00633773"/>
    <w:rsid w:val="0063395B"/>
    <w:rsid w:val="00635940"/>
    <w:rsid w:val="006366AD"/>
    <w:rsid w:val="00640E01"/>
    <w:rsid w:val="00641EC6"/>
    <w:rsid w:val="006433FA"/>
    <w:rsid w:val="00645237"/>
    <w:rsid w:val="006466C9"/>
    <w:rsid w:val="0064766B"/>
    <w:rsid w:val="006529E6"/>
    <w:rsid w:val="00654178"/>
    <w:rsid w:val="00654F0B"/>
    <w:rsid w:val="0066196E"/>
    <w:rsid w:val="00664700"/>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44D"/>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D4EB3"/>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3BE"/>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6846"/>
    <w:rsid w:val="00797125"/>
    <w:rsid w:val="00797969"/>
    <w:rsid w:val="007A324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39A"/>
    <w:rsid w:val="007E47C9"/>
    <w:rsid w:val="007E542F"/>
    <w:rsid w:val="007E6D3C"/>
    <w:rsid w:val="007E74D3"/>
    <w:rsid w:val="007E75B3"/>
    <w:rsid w:val="007F106E"/>
    <w:rsid w:val="007F2492"/>
    <w:rsid w:val="007F42EE"/>
    <w:rsid w:val="007F63B8"/>
    <w:rsid w:val="007F7EE6"/>
    <w:rsid w:val="008000A5"/>
    <w:rsid w:val="008005F2"/>
    <w:rsid w:val="00802A02"/>
    <w:rsid w:val="00802F82"/>
    <w:rsid w:val="00803ADC"/>
    <w:rsid w:val="00803D35"/>
    <w:rsid w:val="00804ACD"/>
    <w:rsid w:val="008064E5"/>
    <w:rsid w:val="00811A7C"/>
    <w:rsid w:val="00812968"/>
    <w:rsid w:val="0081318B"/>
    <w:rsid w:val="00813D98"/>
    <w:rsid w:val="00814716"/>
    <w:rsid w:val="00815718"/>
    <w:rsid w:val="0081599E"/>
    <w:rsid w:val="008159B1"/>
    <w:rsid w:val="008211B6"/>
    <w:rsid w:val="008214EE"/>
    <w:rsid w:val="008222DF"/>
    <w:rsid w:val="00825E45"/>
    <w:rsid w:val="00831E58"/>
    <w:rsid w:val="008325CA"/>
    <w:rsid w:val="00832F75"/>
    <w:rsid w:val="0083554F"/>
    <w:rsid w:val="0083571A"/>
    <w:rsid w:val="00836315"/>
    <w:rsid w:val="0083672A"/>
    <w:rsid w:val="0083774C"/>
    <w:rsid w:val="00837DB8"/>
    <w:rsid w:val="00844428"/>
    <w:rsid w:val="00846CBA"/>
    <w:rsid w:val="00847D9D"/>
    <w:rsid w:val="008551D8"/>
    <w:rsid w:val="00855756"/>
    <w:rsid w:val="00860D9C"/>
    <w:rsid w:val="00861EA4"/>
    <w:rsid w:val="00862AFA"/>
    <w:rsid w:val="00862FD1"/>
    <w:rsid w:val="00863700"/>
    <w:rsid w:val="00864970"/>
    <w:rsid w:val="00864DFA"/>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653C"/>
    <w:rsid w:val="00887996"/>
    <w:rsid w:val="008919FA"/>
    <w:rsid w:val="00894205"/>
    <w:rsid w:val="008948CA"/>
    <w:rsid w:val="008966F6"/>
    <w:rsid w:val="0089742A"/>
    <w:rsid w:val="00897727"/>
    <w:rsid w:val="008A41DD"/>
    <w:rsid w:val="008A45BC"/>
    <w:rsid w:val="008A4E39"/>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684"/>
    <w:rsid w:val="008C77C6"/>
    <w:rsid w:val="008D0650"/>
    <w:rsid w:val="008D0A86"/>
    <w:rsid w:val="008D1048"/>
    <w:rsid w:val="008D2D94"/>
    <w:rsid w:val="008D4D9C"/>
    <w:rsid w:val="008D552A"/>
    <w:rsid w:val="008D6EF1"/>
    <w:rsid w:val="008D7189"/>
    <w:rsid w:val="008D797C"/>
    <w:rsid w:val="008D7BA0"/>
    <w:rsid w:val="008E0FC4"/>
    <w:rsid w:val="008E1A2B"/>
    <w:rsid w:val="008E5B66"/>
    <w:rsid w:val="008E5CC2"/>
    <w:rsid w:val="008E790D"/>
    <w:rsid w:val="008F196A"/>
    <w:rsid w:val="008F28BE"/>
    <w:rsid w:val="008F3E4A"/>
    <w:rsid w:val="008F4F09"/>
    <w:rsid w:val="008F5836"/>
    <w:rsid w:val="008F6239"/>
    <w:rsid w:val="008F6BB4"/>
    <w:rsid w:val="00904EE2"/>
    <w:rsid w:val="00906B23"/>
    <w:rsid w:val="00911FD9"/>
    <w:rsid w:val="0091228D"/>
    <w:rsid w:val="00912CC8"/>
    <w:rsid w:val="00914141"/>
    <w:rsid w:val="00916244"/>
    <w:rsid w:val="00916784"/>
    <w:rsid w:val="00916934"/>
    <w:rsid w:val="00917238"/>
    <w:rsid w:val="00917816"/>
    <w:rsid w:val="009213AE"/>
    <w:rsid w:val="009218F2"/>
    <w:rsid w:val="00921D4D"/>
    <w:rsid w:val="009228BE"/>
    <w:rsid w:val="009247D4"/>
    <w:rsid w:val="00925F55"/>
    <w:rsid w:val="00930456"/>
    <w:rsid w:val="00931A88"/>
    <w:rsid w:val="00933954"/>
    <w:rsid w:val="00933A16"/>
    <w:rsid w:val="00933C7C"/>
    <w:rsid w:val="00933F3F"/>
    <w:rsid w:val="009347AA"/>
    <w:rsid w:val="00934991"/>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3E14"/>
    <w:rsid w:val="0095468A"/>
    <w:rsid w:val="0095562A"/>
    <w:rsid w:val="00962E59"/>
    <w:rsid w:val="00965D58"/>
    <w:rsid w:val="009662F9"/>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608F"/>
    <w:rsid w:val="00997680"/>
    <w:rsid w:val="009A1270"/>
    <w:rsid w:val="009A197B"/>
    <w:rsid w:val="009A3B10"/>
    <w:rsid w:val="009A3BB2"/>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29EF"/>
    <w:rsid w:val="00A63A28"/>
    <w:rsid w:val="00A63B72"/>
    <w:rsid w:val="00A64A40"/>
    <w:rsid w:val="00A64C86"/>
    <w:rsid w:val="00A67985"/>
    <w:rsid w:val="00A6798F"/>
    <w:rsid w:val="00A70BE1"/>
    <w:rsid w:val="00A7325E"/>
    <w:rsid w:val="00A74351"/>
    <w:rsid w:val="00A75631"/>
    <w:rsid w:val="00A75EAD"/>
    <w:rsid w:val="00A76DBE"/>
    <w:rsid w:val="00A777EC"/>
    <w:rsid w:val="00A77AD6"/>
    <w:rsid w:val="00A81147"/>
    <w:rsid w:val="00A81DCA"/>
    <w:rsid w:val="00A8311E"/>
    <w:rsid w:val="00A86604"/>
    <w:rsid w:val="00A87C7B"/>
    <w:rsid w:val="00A940FF"/>
    <w:rsid w:val="00A95090"/>
    <w:rsid w:val="00A9514D"/>
    <w:rsid w:val="00A9593A"/>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1A8"/>
    <w:rsid w:val="00AB4ACC"/>
    <w:rsid w:val="00AB537D"/>
    <w:rsid w:val="00AB5844"/>
    <w:rsid w:val="00AB66E6"/>
    <w:rsid w:val="00AB7EB0"/>
    <w:rsid w:val="00AC4279"/>
    <w:rsid w:val="00AC51D3"/>
    <w:rsid w:val="00AC5870"/>
    <w:rsid w:val="00AC5D30"/>
    <w:rsid w:val="00AC5EC7"/>
    <w:rsid w:val="00AC7209"/>
    <w:rsid w:val="00AC75F5"/>
    <w:rsid w:val="00AC78CA"/>
    <w:rsid w:val="00AC7A82"/>
    <w:rsid w:val="00AD1373"/>
    <w:rsid w:val="00AD2B85"/>
    <w:rsid w:val="00AD395C"/>
    <w:rsid w:val="00AD3F10"/>
    <w:rsid w:val="00AD6CF1"/>
    <w:rsid w:val="00AD72B3"/>
    <w:rsid w:val="00AE18A0"/>
    <w:rsid w:val="00AE1FD5"/>
    <w:rsid w:val="00AE283C"/>
    <w:rsid w:val="00AE376A"/>
    <w:rsid w:val="00AE40B4"/>
    <w:rsid w:val="00AE4566"/>
    <w:rsid w:val="00AF000B"/>
    <w:rsid w:val="00AF0048"/>
    <w:rsid w:val="00AF255D"/>
    <w:rsid w:val="00AF4A18"/>
    <w:rsid w:val="00AF4D77"/>
    <w:rsid w:val="00AF4F13"/>
    <w:rsid w:val="00AF60AE"/>
    <w:rsid w:val="00AF677A"/>
    <w:rsid w:val="00AF6DBB"/>
    <w:rsid w:val="00B00892"/>
    <w:rsid w:val="00B034FA"/>
    <w:rsid w:val="00B05052"/>
    <w:rsid w:val="00B050D3"/>
    <w:rsid w:val="00B05ACB"/>
    <w:rsid w:val="00B05B25"/>
    <w:rsid w:val="00B11E41"/>
    <w:rsid w:val="00B13078"/>
    <w:rsid w:val="00B130F2"/>
    <w:rsid w:val="00B14DA5"/>
    <w:rsid w:val="00B1538B"/>
    <w:rsid w:val="00B1788D"/>
    <w:rsid w:val="00B206F3"/>
    <w:rsid w:val="00B20B88"/>
    <w:rsid w:val="00B2126A"/>
    <w:rsid w:val="00B22C2F"/>
    <w:rsid w:val="00B240D0"/>
    <w:rsid w:val="00B24B69"/>
    <w:rsid w:val="00B25A0D"/>
    <w:rsid w:val="00B277E9"/>
    <w:rsid w:val="00B27923"/>
    <w:rsid w:val="00B30671"/>
    <w:rsid w:val="00B30F45"/>
    <w:rsid w:val="00B319AF"/>
    <w:rsid w:val="00B31F06"/>
    <w:rsid w:val="00B32C04"/>
    <w:rsid w:val="00B337D5"/>
    <w:rsid w:val="00B35629"/>
    <w:rsid w:val="00B37C19"/>
    <w:rsid w:val="00B413A7"/>
    <w:rsid w:val="00B41609"/>
    <w:rsid w:val="00B42131"/>
    <w:rsid w:val="00B433F0"/>
    <w:rsid w:val="00B44DFD"/>
    <w:rsid w:val="00B46FFA"/>
    <w:rsid w:val="00B508CC"/>
    <w:rsid w:val="00B50A51"/>
    <w:rsid w:val="00B52658"/>
    <w:rsid w:val="00B52AC2"/>
    <w:rsid w:val="00B548F0"/>
    <w:rsid w:val="00B5547F"/>
    <w:rsid w:val="00B57FE5"/>
    <w:rsid w:val="00B60110"/>
    <w:rsid w:val="00B61206"/>
    <w:rsid w:val="00B618F7"/>
    <w:rsid w:val="00B6400E"/>
    <w:rsid w:val="00B65660"/>
    <w:rsid w:val="00B65E1E"/>
    <w:rsid w:val="00B67FA8"/>
    <w:rsid w:val="00B73093"/>
    <w:rsid w:val="00B75570"/>
    <w:rsid w:val="00B757DF"/>
    <w:rsid w:val="00B761E2"/>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216"/>
    <w:rsid w:val="00BC1DAF"/>
    <w:rsid w:val="00BC2162"/>
    <w:rsid w:val="00BC3854"/>
    <w:rsid w:val="00BC3864"/>
    <w:rsid w:val="00BC46A6"/>
    <w:rsid w:val="00BC7FFE"/>
    <w:rsid w:val="00BD0D1A"/>
    <w:rsid w:val="00BD13E2"/>
    <w:rsid w:val="00BD211F"/>
    <w:rsid w:val="00BD2DD1"/>
    <w:rsid w:val="00BD392A"/>
    <w:rsid w:val="00BD4781"/>
    <w:rsid w:val="00BD55A2"/>
    <w:rsid w:val="00BD59B4"/>
    <w:rsid w:val="00BD6319"/>
    <w:rsid w:val="00BD73CC"/>
    <w:rsid w:val="00BE29DD"/>
    <w:rsid w:val="00BE2C4F"/>
    <w:rsid w:val="00BE43A9"/>
    <w:rsid w:val="00BE49A7"/>
    <w:rsid w:val="00BE5364"/>
    <w:rsid w:val="00BE761B"/>
    <w:rsid w:val="00BF1935"/>
    <w:rsid w:val="00BF268B"/>
    <w:rsid w:val="00BF64BA"/>
    <w:rsid w:val="00BF7A2F"/>
    <w:rsid w:val="00C0043D"/>
    <w:rsid w:val="00C006B0"/>
    <w:rsid w:val="00C00D34"/>
    <w:rsid w:val="00C0127E"/>
    <w:rsid w:val="00C01D77"/>
    <w:rsid w:val="00C01E30"/>
    <w:rsid w:val="00C02E85"/>
    <w:rsid w:val="00C042A4"/>
    <w:rsid w:val="00C04CEB"/>
    <w:rsid w:val="00C074A2"/>
    <w:rsid w:val="00C142E1"/>
    <w:rsid w:val="00C14F5D"/>
    <w:rsid w:val="00C201F5"/>
    <w:rsid w:val="00C219EB"/>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623"/>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30A7"/>
    <w:rsid w:val="00C753CF"/>
    <w:rsid w:val="00C75C55"/>
    <w:rsid w:val="00C7683E"/>
    <w:rsid w:val="00C76D85"/>
    <w:rsid w:val="00C77B2F"/>
    <w:rsid w:val="00C801E4"/>
    <w:rsid w:val="00C802EE"/>
    <w:rsid w:val="00C8107C"/>
    <w:rsid w:val="00C829A1"/>
    <w:rsid w:val="00C829FB"/>
    <w:rsid w:val="00C8381D"/>
    <w:rsid w:val="00C83A62"/>
    <w:rsid w:val="00C85E97"/>
    <w:rsid w:val="00C9174B"/>
    <w:rsid w:val="00C9298B"/>
    <w:rsid w:val="00C94068"/>
    <w:rsid w:val="00C97B69"/>
    <w:rsid w:val="00CA1045"/>
    <w:rsid w:val="00CA1CC5"/>
    <w:rsid w:val="00CA2954"/>
    <w:rsid w:val="00CA4CB3"/>
    <w:rsid w:val="00CA5291"/>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301A"/>
    <w:rsid w:val="00D33E05"/>
    <w:rsid w:val="00D33FE6"/>
    <w:rsid w:val="00D34A16"/>
    <w:rsid w:val="00D36BEA"/>
    <w:rsid w:val="00D4043B"/>
    <w:rsid w:val="00D41299"/>
    <w:rsid w:val="00D424E3"/>
    <w:rsid w:val="00D42662"/>
    <w:rsid w:val="00D42AF3"/>
    <w:rsid w:val="00D43745"/>
    <w:rsid w:val="00D461F0"/>
    <w:rsid w:val="00D46FC9"/>
    <w:rsid w:val="00D512B6"/>
    <w:rsid w:val="00D52C2F"/>
    <w:rsid w:val="00D53677"/>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F96"/>
    <w:rsid w:val="00D821C8"/>
    <w:rsid w:val="00D82865"/>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CF8"/>
    <w:rsid w:val="00DC5FBC"/>
    <w:rsid w:val="00DC6C07"/>
    <w:rsid w:val="00DC755B"/>
    <w:rsid w:val="00DD00BC"/>
    <w:rsid w:val="00DD01D6"/>
    <w:rsid w:val="00DD0FE6"/>
    <w:rsid w:val="00DD1B9D"/>
    <w:rsid w:val="00DD2E18"/>
    <w:rsid w:val="00DD45D3"/>
    <w:rsid w:val="00DD5521"/>
    <w:rsid w:val="00DD6A82"/>
    <w:rsid w:val="00DD6E41"/>
    <w:rsid w:val="00DD74FF"/>
    <w:rsid w:val="00DD77D7"/>
    <w:rsid w:val="00DE23B8"/>
    <w:rsid w:val="00DE2C08"/>
    <w:rsid w:val="00DE3025"/>
    <w:rsid w:val="00DE315E"/>
    <w:rsid w:val="00DE38EF"/>
    <w:rsid w:val="00DE417E"/>
    <w:rsid w:val="00DE4E25"/>
    <w:rsid w:val="00DE6819"/>
    <w:rsid w:val="00DF19E8"/>
    <w:rsid w:val="00DF1CAD"/>
    <w:rsid w:val="00DF3016"/>
    <w:rsid w:val="00DF5402"/>
    <w:rsid w:val="00E0106F"/>
    <w:rsid w:val="00E03811"/>
    <w:rsid w:val="00E03F84"/>
    <w:rsid w:val="00E05095"/>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A43"/>
    <w:rsid w:val="00E32C7A"/>
    <w:rsid w:val="00E33028"/>
    <w:rsid w:val="00E34070"/>
    <w:rsid w:val="00E35411"/>
    <w:rsid w:val="00E35BFD"/>
    <w:rsid w:val="00E36793"/>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11E"/>
    <w:rsid w:val="00E925DB"/>
    <w:rsid w:val="00E92AD5"/>
    <w:rsid w:val="00E92C72"/>
    <w:rsid w:val="00E932CE"/>
    <w:rsid w:val="00E94563"/>
    <w:rsid w:val="00E960CD"/>
    <w:rsid w:val="00E971E7"/>
    <w:rsid w:val="00E9771D"/>
    <w:rsid w:val="00EA3129"/>
    <w:rsid w:val="00EA333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2C9E"/>
    <w:rsid w:val="00EE33CE"/>
    <w:rsid w:val="00EE42C5"/>
    <w:rsid w:val="00EE4801"/>
    <w:rsid w:val="00EE49E6"/>
    <w:rsid w:val="00EE555F"/>
    <w:rsid w:val="00EE6715"/>
    <w:rsid w:val="00EF0BCA"/>
    <w:rsid w:val="00EF1BF6"/>
    <w:rsid w:val="00EF1DBA"/>
    <w:rsid w:val="00EF2F5E"/>
    <w:rsid w:val="00F012A7"/>
    <w:rsid w:val="00F02B93"/>
    <w:rsid w:val="00F02E63"/>
    <w:rsid w:val="00F0327E"/>
    <w:rsid w:val="00F04C3C"/>
    <w:rsid w:val="00F04ECD"/>
    <w:rsid w:val="00F05C68"/>
    <w:rsid w:val="00F06974"/>
    <w:rsid w:val="00F07012"/>
    <w:rsid w:val="00F07226"/>
    <w:rsid w:val="00F0740A"/>
    <w:rsid w:val="00F11E58"/>
    <w:rsid w:val="00F12AF0"/>
    <w:rsid w:val="00F13C8D"/>
    <w:rsid w:val="00F16148"/>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1760"/>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2AF"/>
    <w:rsid w:val="00F71811"/>
    <w:rsid w:val="00F72F55"/>
    <w:rsid w:val="00F747A8"/>
    <w:rsid w:val="00F754B0"/>
    <w:rsid w:val="00F7720E"/>
    <w:rsid w:val="00F80691"/>
    <w:rsid w:val="00F81859"/>
    <w:rsid w:val="00F82767"/>
    <w:rsid w:val="00F827B3"/>
    <w:rsid w:val="00F82CF5"/>
    <w:rsid w:val="00F85CFA"/>
    <w:rsid w:val="00F85F78"/>
    <w:rsid w:val="00F860A7"/>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141"/>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E7887"/>
    <w:rsid w:val="00FF02C3"/>
    <w:rsid w:val="00FF2FCD"/>
    <w:rsid w:val="00FF4312"/>
    <w:rsid w:val="00FF653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B40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4DFD"/>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0">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0"/>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EinfacheTabelle2">
    <w:name w:val="Plain Table 2"/>
    <w:basedOn w:val="NormaleTabelle"/>
    <w:uiPriority w:val="42"/>
    <w:rsid w:val="00264D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1">
    <w:name w:val="B1+"/>
    <w:basedOn w:val="B10"/>
    <w:rsid w:val="003526DA"/>
    <w:pPr>
      <w:numPr>
        <w:numId w:val="17"/>
      </w:numPr>
      <w:tabs>
        <w:tab w:val="clear" w:pos="737"/>
        <w:tab w:val="num" w:pos="432"/>
      </w:tabs>
      <w:overflowPunct w:val="0"/>
      <w:autoSpaceDE w:val="0"/>
      <w:autoSpaceDN w:val="0"/>
      <w:adjustRightInd w:val="0"/>
      <w:ind w:left="432" w:hanging="432"/>
      <w:textAlignment w:val="baseline"/>
    </w:pPr>
    <w:rPr>
      <w:rFonts w:eastAsia="Malgun Gothic"/>
    </w:rPr>
  </w:style>
  <w:style w:type="table" w:styleId="TabellemithellemGitternetz">
    <w:name w:val="Grid Table Light"/>
    <w:basedOn w:val="NormaleTabelle"/>
    <w:uiPriority w:val="40"/>
    <w:rsid w:val="003540A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85661208">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61715146">
      <w:bodyDiv w:val="1"/>
      <w:marLeft w:val="0"/>
      <w:marRight w:val="0"/>
      <w:marTop w:val="0"/>
      <w:marBottom w:val="0"/>
      <w:divBdr>
        <w:top w:val="none" w:sz="0" w:space="0" w:color="auto"/>
        <w:left w:val="none" w:sz="0" w:space="0" w:color="auto"/>
        <w:bottom w:val="none" w:sz="0" w:space="0" w:color="auto"/>
        <w:right w:val="none" w:sz="0" w:space="0" w:color="auto"/>
      </w:divBdr>
    </w:div>
    <w:div w:id="376316814">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2999699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2446440">
      <w:bodyDiv w:val="1"/>
      <w:marLeft w:val="0"/>
      <w:marRight w:val="0"/>
      <w:marTop w:val="0"/>
      <w:marBottom w:val="0"/>
      <w:divBdr>
        <w:top w:val="none" w:sz="0" w:space="0" w:color="auto"/>
        <w:left w:val="none" w:sz="0" w:space="0" w:color="auto"/>
        <w:bottom w:val="none" w:sz="0" w:space="0" w:color="auto"/>
        <w:right w:val="none" w:sz="0" w:space="0" w:color="auto"/>
      </w:divBdr>
    </w:div>
    <w:div w:id="631520066">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95223771">
      <w:bodyDiv w:val="1"/>
      <w:marLeft w:val="0"/>
      <w:marRight w:val="0"/>
      <w:marTop w:val="0"/>
      <w:marBottom w:val="0"/>
      <w:divBdr>
        <w:top w:val="none" w:sz="0" w:space="0" w:color="auto"/>
        <w:left w:val="none" w:sz="0" w:space="0" w:color="auto"/>
        <w:bottom w:val="none" w:sz="0" w:space="0" w:color="auto"/>
        <w:right w:val="none" w:sz="0" w:space="0" w:color="auto"/>
      </w:divBdr>
    </w:div>
    <w:div w:id="829373519">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34090137">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15173065">
      <w:bodyDiv w:val="1"/>
      <w:marLeft w:val="0"/>
      <w:marRight w:val="0"/>
      <w:marTop w:val="0"/>
      <w:marBottom w:val="0"/>
      <w:divBdr>
        <w:top w:val="none" w:sz="0" w:space="0" w:color="auto"/>
        <w:left w:val="none" w:sz="0" w:space="0" w:color="auto"/>
        <w:bottom w:val="none" w:sz="0" w:space="0" w:color="auto"/>
        <w:right w:val="none" w:sz="0" w:space="0" w:color="auto"/>
      </w:divBdr>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1976627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5339E-3D67-4E2B-AAF1-AC65CC5EF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2690</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2020-11-11T12:22:00Z</dcterms:created>
  <dcterms:modified xsi:type="dcterms:W3CDTF">2020-11-20T14:32:00Z</dcterms:modified>
  <cp:category/>
</cp:coreProperties>
</file>